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CA7D" w14:textId="36543CFE" w:rsidR="00E522A9" w:rsidRPr="00A80A97" w:rsidRDefault="0035102F" w:rsidP="00E522A9">
      <w:pPr>
        <w:pStyle w:val="Title"/>
        <w:rPr>
          <w:noProof w:val="0"/>
        </w:rPr>
      </w:pPr>
      <w:r w:rsidRPr="00A80A97">
        <w:rPr>
          <w:noProof w:val="0"/>
        </w:rPr>
        <w:t>CDR-4828</w:t>
      </w:r>
    </w:p>
    <w:p w14:paraId="534053E1" w14:textId="77777777" w:rsidR="000C5636" w:rsidRPr="00A80A97" w:rsidRDefault="000C5636" w:rsidP="005B0B43">
      <w:pPr>
        <w:pStyle w:val="AACEAuthors"/>
        <w:rPr>
          <w:noProof w:val="0"/>
          <w:sz w:val="48"/>
          <w:szCs w:val="48"/>
        </w:rPr>
      </w:pPr>
      <w:r w:rsidRPr="00A80A97">
        <w:rPr>
          <w:noProof w:val="0"/>
          <w:sz w:val="48"/>
          <w:szCs w:val="48"/>
        </w:rPr>
        <w:t>A Tale of Two (or more!) Methods: A Case Study Comparing Loss of Productivity Analyses</w:t>
      </w:r>
    </w:p>
    <w:p w14:paraId="40E61018" w14:textId="68BA9914" w:rsidR="005B0B43" w:rsidRPr="00A80A97" w:rsidRDefault="000C5636" w:rsidP="005B0B43">
      <w:pPr>
        <w:pStyle w:val="AACEAuthors"/>
        <w:rPr>
          <w:noProof w:val="0"/>
        </w:rPr>
      </w:pPr>
      <w:r w:rsidRPr="00A80A97">
        <w:rPr>
          <w:noProof w:val="0"/>
        </w:rPr>
        <w:t>John A. Armstrong PSP; Matthew Marzilli PSP</w:t>
      </w:r>
    </w:p>
    <w:p w14:paraId="55044C86" w14:textId="77777777" w:rsidR="005B0B43" w:rsidRPr="00A80A97" w:rsidRDefault="00450EB9" w:rsidP="005B0B43">
      <w:pPr>
        <w:pStyle w:val="Heading1"/>
      </w:pPr>
      <w:bookmarkStart w:id="0" w:name="_Toc219884394"/>
      <w:bookmarkStart w:id="1" w:name="_Toc222041015"/>
      <w:r w:rsidRPr="00A80A97">
        <w:t>Abstract</w:t>
      </w:r>
      <w:bookmarkEnd w:id="0"/>
      <w:bookmarkEnd w:id="1"/>
    </w:p>
    <w:p w14:paraId="43F27714" w14:textId="77777777" w:rsidR="006D49EB" w:rsidRPr="00A80A97" w:rsidRDefault="006D49EB" w:rsidP="006D49EB">
      <w:pPr>
        <w:jc w:val="left"/>
      </w:pPr>
      <w:r w:rsidRPr="00A80A97">
        <w:t>The quantification of lost productivity is one of the most contentious and challenging aspects of construction claims. While numerous methodologies exist, a lack of comprehensive, real-world data often forces experts to rely on methods that may not be the best fit for the circumstances, leading to disputes over their applicability and reliability. What if a project existed with records so meticulous that multiple industry-standard quantification methods could be applied and their outcomes directly compared?</w:t>
      </w:r>
    </w:p>
    <w:p w14:paraId="47CF0D23" w14:textId="77777777" w:rsidR="006D49EB" w:rsidRPr="00A80A97" w:rsidRDefault="006D49EB" w:rsidP="006D49EB">
      <w:pPr>
        <w:jc w:val="left"/>
      </w:pPr>
    </w:p>
    <w:p w14:paraId="6D37CD81" w14:textId="77777777" w:rsidR="006D49EB" w:rsidRPr="00A80A97" w:rsidRDefault="006D49EB" w:rsidP="006D49EB">
      <w:pPr>
        <w:jc w:val="left"/>
      </w:pPr>
      <w:r w:rsidRPr="00A80A97">
        <w:t>This paper presents a unique case study of a large-scale construction project that maintained exemplary project records, providing a rare opportunity for a side-by-side "apples-to-apples" comparison of several widely accepted loss of productivity quantification methodologies. By applying techniques such as the Measured Mile, industry-specific studies, and other common approaches to the same robust dataset, this analysis moves beyond theoretical debates.</w:t>
      </w:r>
    </w:p>
    <w:p w14:paraId="10D3CD3F" w14:textId="77777777" w:rsidR="006D49EB" w:rsidRPr="00A80A97" w:rsidRDefault="006D49EB" w:rsidP="006D49EB">
      <w:pPr>
        <w:jc w:val="left"/>
      </w:pPr>
    </w:p>
    <w:p w14:paraId="28759546" w14:textId="77777777" w:rsidR="006D49EB" w:rsidRPr="00A80A97" w:rsidRDefault="006D49EB" w:rsidP="006D49EB">
      <w:pPr>
        <w:jc w:val="left"/>
      </w:pPr>
      <w:r w:rsidRPr="00A80A97">
        <w:t>The study reveals interesting and sometimes surprising divergences in the results, providing critical insights into the inherent biases and sensitivities of each method. The findings will equip practitioners with a deeper understanding of how the choice of methodology can significantly influence the outcome of a claim. More importantly, this paper offers pragmatic, data-driven advice on selecting the most appropriate and defensible methodology for a given set of facts, ultimately empowering stakeholders to navigate complex productivity claims with greater confidence and clarity.</w:t>
      </w:r>
    </w:p>
    <w:p w14:paraId="217C82D7" w14:textId="70174813" w:rsidR="00DA3E14" w:rsidRPr="00A80A97" w:rsidRDefault="0032017C" w:rsidP="006D49EB">
      <w:pPr>
        <w:jc w:val="left"/>
      </w:pPr>
      <w:r w:rsidRPr="00A80A97">
        <w:br w:type="page"/>
      </w:r>
    </w:p>
    <w:sdt>
      <w:sdtPr>
        <w:rPr>
          <w:rFonts w:ascii="Calibri" w:eastAsia="Times New Roman" w:hAnsi="Calibri" w:cs="Times New Roman"/>
          <w:b w:val="0"/>
          <w:bCs w:val="0"/>
          <w:color w:val="auto"/>
          <w:sz w:val="20"/>
          <w:szCs w:val="24"/>
          <w:lang w:eastAsia="en-US"/>
        </w:rPr>
        <w:id w:val="765734103"/>
        <w:docPartObj>
          <w:docPartGallery w:val="Table of Contents"/>
          <w:docPartUnique/>
        </w:docPartObj>
      </w:sdtPr>
      <w:sdtContent>
        <w:p w14:paraId="6C326876" w14:textId="4ED9DBCD" w:rsidR="0012157E" w:rsidRPr="00A80A97" w:rsidRDefault="0012157E">
          <w:pPr>
            <w:pStyle w:val="TOCHeading"/>
            <w:rPr>
              <w:rFonts w:asciiTheme="minorHAnsi" w:hAnsiTheme="minorHAnsi" w:cstheme="minorHAnsi"/>
              <w:color w:val="auto"/>
            </w:rPr>
          </w:pPr>
          <w:r w:rsidRPr="00A80A97">
            <w:rPr>
              <w:rFonts w:asciiTheme="minorHAnsi" w:hAnsiTheme="minorHAnsi" w:cstheme="minorHAnsi"/>
              <w:color w:val="auto"/>
            </w:rPr>
            <w:t>Contents</w:t>
          </w:r>
        </w:p>
        <w:p w14:paraId="5DA4F770" w14:textId="41AE9E21" w:rsidR="006A4679" w:rsidRDefault="0012157E">
          <w:pPr>
            <w:pStyle w:val="TOC1"/>
            <w:tabs>
              <w:tab w:val="right" w:leader="dot" w:pos="9350"/>
            </w:tabs>
            <w:rPr>
              <w:rFonts w:asciiTheme="minorHAnsi" w:eastAsiaTheme="minorEastAsia" w:hAnsiTheme="minorHAnsi" w:cstheme="minorBidi"/>
              <w:noProof/>
              <w:kern w:val="2"/>
              <w:sz w:val="24"/>
              <w14:ligatures w14:val="standardContextual"/>
            </w:rPr>
          </w:pPr>
          <w:r w:rsidRPr="00A80A97">
            <w:fldChar w:fldCharType="begin"/>
          </w:r>
          <w:r w:rsidRPr="00A80A97">
            <w:instrText xml:space="preserve"> TOC \o "1-3" \h \z \u </w:instrText>
          </w:r>
          <w:r w:rsidRPr="00A80A97">
            <w:fldChar w:fldCharType="separate"/>
          </w:r>
          <w:hyperlink w:anchor="_Toc222041015" w:history="1">
            <w:r w:rsidR="006A4679" w:rsidRPr="00233F83">
              <w:rPr>
                <w:rStyle w:val="Hyperlink"/>
                <w:noProof/>
              </w:rPr>
              <w:t>Abstract</w:t>
            </w:r>
            <w:r w:rsidR="006A4679">
              <w:rPr>
                <w:noProof/>
                <w:webHidden/>
              </w:rPr>
              <w:tab/>
            </w:r>
            <w:r w:rsidR="006A4679">
              <w:rPr>
                <w:noProof/>
                <w:webHidden/>
              </w:rPr>
              <w:fldChar w:fldCharType="begin"/>
            </w:r>
            <w:r w:rsidR="006A4679">
              <w:rPr>
                <w:noProof/>
                <w:webHidden/>
              </w:rPr>
              <w:instrText xml:space="preserve"> PAGEREF _Toc222041015 \h </w:instrText>
            </w:r>
            <w:r w:rsidR="006A4679">
              <w:rPr>
                <w:noProof/>
                <w:webHidden/>
              </w:rPr>
            </w:r>
            <w:r w:rsidR="006A4679">
              <w:rPr>
                <w:noProof/>
                <w:webHidden/>
              </w:rPr>
              <w:fldChar w:fldCharType="separate"/>
            </w:r>
            <w:r w:rsidR="006A4679">
              <w:rPr>
                <w:noProof/>
                <w:webHidden/>
              </w:rPr>
              <w:t>1</w:t>
            </w:r>
            <w:r w:rsidR="006A4679">
              <w:rPr>
                <w:noProof/>
                <w:webHidden/>
              </w:rPr>
              <w:fldChar w:fldCharType="end"/>
            </w:r>
          </w:hyperlink>
        </w:p>
        <w:p w14:paraId="1CB56E8A" w14:textId="73C780B6" w:rsidR="006A4679" w:rsidRDefault="006A4679">
          <w:pPr>
            <w:pStyle w:val="TOC1"/>
            <w:tabs>
              <w:tab w:val="right" w:leader="dot" w:pos="9350"/>
            </w:tabs>
            <w:rPr>
              <w:rFonts w:asciiTheme="minorHAnsi" w:eastAsiaTheme="minorEastAsia" w:hAnsiTheme="minorHAnsi" w:cstheme="minorBidi"/>
              <w:noProof/>
              <w:kern w:val="2"/>
              <w:sz w:val="24"/>
              <w14:ligatures w14:val="standardContextual"/>
            </w:rPr>
          </w:pPr>
          <w:hyperlink w:anchor="_Toc222041016" w:history="1">
            <w:r w:rsidRPr="00233F83">
              <w:rPr>
                <w:rStyle w:val="Hyperlink"/>
                <w:noProof/>
              </w:rPr>
              <w:t>Introduction</w:t>
            </w:r>
            <w:r>
              <w:rPr>
                <w:noProof/>
                <w:webHidden/>
              </w:rPr>
              <w:tab/>
            </w:r>
            <w:r>
              <w:rPr>
                <w:noProof/>
                <w:webHidden/>
              </w:rPr>
              <w:fldChar w:fldCharType="begin"/>
            </w:r>
            <w:r>
              <w:rPr>
                <w:noProof/>
                <w:webHidden/>
              </w:rPr>
              <w:instrText xml:space="preserve"> PAGEREF _Toc222041016 \h </w:instrText>
            </w:r>
            <w:r>
              <w:rPr>
                <w:noProof/>
                <w:webHidden/>
              </w:rPr>
            </w:r>
            <w:r>
              <w:rPr>
                <w:noProof/>
                <w:webHidden/>
              </w:rPr>
              <w:fldChar w:fldCharType="separate"/>
            </w:r>
            <w:r>
              <w:rPr>
                <w:noProof/>
                <w:webHidden/>
              </w:rPr>
              <w:t>3</w:t>
            </w:r>
            <w:r>
              <w:rPr>
                <w:noProof/>
                <w:webHidden/>
              </w:rPr>
              <w:fldChar w:fldCharType="end"/>
            </w:r>
          </w:hyperlink>
        </w:p>
        <w:p w14:paraId="775E585B" w14:textId="217C0968" w:rsidR="006A4679" w:rsidRDefault="006A4679">
          <w:pPr>
            <w:pStyle w:val="TOC1"/>
            <w:tabs>
              <w:tab w:val="right" w:leader="dot" w:pos="9350"/>
            </w:tabs>
            <w:rPr>
              <w:rFonts w:asciiTheme="minorHAnsi" w:eastAsiaTheme="minorEastAsia" w:hAnsiTheme="minorHAnsi" w:cstheme="minorBidi"/>
              <w:noProof/>
              <w:kern w:val="2"/>
              <w:sz w:val="24"/>
              <w14:ligatures w14:val="standardContextual"/>
            </w:rPr>
          </w:pPr>
          <w:hyperlink w:anchor="_Toc222041017" w:history="1">
            <w:r w:rsidRPr="00233F83">
              <w:rPr>
                <w:rStyle w:val="Hyperlink"/>
                <w:noProof/>
              </w:rPr>
              <w:t>Compounding Effects of Impact Events</w:t>
            </w:r>
            <w:r>
              <w:rPr>
                <w:noProof/>
                <w:webHidden/>
              </w:rPr>
              <w:tab/>
            </w:r>
            <w:r>
              <w:rPr>
                <w:noProof/>
                <w:webHidden/>
              </w:rPr>
              <w:fldChar w:fldCharType="begin"/>
            </w:r>
            <w:r>
              <w:rPr>
                <w:noProof/>
                <w:webHidden/>
              </w:rPr>
              <w:instrText xml:space="preserve"> PAGEREF _Toc222041017 \h </w:instrText>
            </w:r>
            <w:r>
              <w:rPr>
                <w:noProof/>
                <w:webHidden/>
              </w:rPr>
            </w:r>
            <w:r>
              <w:rPr>
                <w:noProof/>
                <w:webHidden/>
              </w:rPr>
              <w:fldChar w:fldCharType="separate"/>
            </w:r>
            <w:r>
              <w:rPr>
                <w:noProof/>
                <w:webHidden/>
              </w:rPr>
              <w:t>3</w:t>
            </w:r>
            <w:r>
              <w:rPr>
                <w:noProof/>
                <w:webHidden/>
              </w:rPr>
              <w:fldChar w:fldCharType="end"/>
            </w:r>
          </w:hyperlink>
        </w:p>
        <w:p w14:paraId="79708C0C" w14:textId="3E3AC91E" w:rsidR="006A4679" w:rsidRDefault="006A4679">
          <w:pPr>
            <w:pStyle w:val="TOC3"/>
            <w:tabs>
              <w:tab w:val="right" w:leader="dot" w:pos="9350"/>
            </w:tabs>
            <w:rPr>
              <w:noProof/>
              <w:kern w:val="2"/>
              <w:sz w:val="24"/>
              <w:szCs w:val="24"/>
              <w:lang w:eastAsia="en-US"/>
              <w14:ligatures w14:val="standardContextual"/>
            </w:rPr>
          </w:pPr>
          <w:hyperlink w:anchor="_Toc222041018" w:history="1">
            <w:r w:rsidRPr="00233F83">
              <w:rPr>
                <w:rStyle w:val="Hyperlink"/>
                <w:noProof/>
              </w:rPr>
              <w:t>Major Critical Path Delays</w:t>
            </w:r>
            <w:r>
              <w:rPr>
                <w:noProof/>
                <w:webHidden/>
              </w:rPr>
              <w:tab/>
            </w:r>
            <w:r>
              <w:rPr>
                <w:noProof/>
                <w:webHidden/>
              </w:rPr>
              <w:fldChar w:fldCharType="begin"/>
            </w:r>
            <w:r>
              <w:rPr>
                <w:noProof/>
                <w:webHidden/>
              </w:rPr>
              <w:instrText xml:space="preserve"> PAGEREF _Toc222041018 \h </w:instrText>
            </w:r>
            <w:r>
              <w:rPr>
                <w:noProof/>
                <w:webHidden/>
              </w:rPr>
            </w:r>
            <w:r>
              <w:rPr>
                <w:noProof/>
                <w:webHidden/>
              </w:rPr>
              <w:fldChar w:fldCharType="separate"/>
            </w:r>
            <w:r>
              <w:rPr>
                <w:noProof/>
                <w:webHidden/>
              </w:rPr>
              <w:t>3</w:t>
            </w:r>
            <w:r>
              <w:rPr>
                <w:noProof/>
                <w:webHidden/>
              </w:rPr>
              <w:fldChar w:fldCharType="end"/>
            </w:r>
          </w:hyperlink>
        </w:p>
        <w:p w14:paraId="6DB9A543" w14:textId="3ED63907" w:rsidR="006A4679" w:rsidRDefault="006A4679">
          <w:pPr>
            <w:pStyle w:val="TOC3"/>
            <w:tabs>
              <w:tab w:val="right" w:leader="dot" w:pos="9350"/>
            </w:tabs>
            <w:rPr>
              <w:noProof/>
              <w:kern w:val="2"/>
              <w:sz w:val="24"/>
              <w:szCs w:val="24"/>
              <w:lang w:eastAsia="en-US"/>
              <w14:ligatures w14:val="standardContextual"/>
            </w:rPr>
          </w:pPr>
          <w:hyperlink w:anchor="_Toc222041019" w:history="1">
            <w:r w:rsidRPr="00233F83">
              <w:rPr>
                <w:rStyle w:val="Hyperlink"/>
                <w:noProof/>
              </w:rPr>
              <w:t>Resulting Loss of Productivity</w:t>
            </w:r>
            <w:r>
              <w:rPr>
                <w:noProof/>
                <w:webHidden/>
              </w:rPr>
              <w:tab/>
            </w:r>
            <w:r>
              <w:rPr>
                <w:noProof/>
                <w:webHidden/>
              </w:rPr>
              <w:fldChar w:fldCharType="begin"/>
            </w:r>
            <w:r>
              <w:rPr>
                <w:noProof/>
                <w:webHidden/>
              </w:rPr>
              <w:instrText xml:space="preserve"> PAGEREF _Toc222041019 \h </w:instrText>
            </w:r>
            <w:r>
              <w:rPr>
                <w:noProof/>
                <w:webHidden/>
              </w:rPr>
            </w:r>
            <w:r>
              <w:rPr>
                <w:noProof/>
                <w:webHidden/>
              </w:rPr>
              <w:fldChar w:fldCharType="separate"/>
            </w:r>
            <w:r>
              <w:rPr>
                <w:noProof/>
                <w:webHidden/>
              </w:rPr>
              <w:t>4</w:t>
            </w:r>
            <w:r>
              <w:rPr>
                <w:noProof/>
                <w:webHidden/>
              </w:rPr>
              <w:fldChar w:fldCharType="end"/>
            </w:r>
          </w:hyperlink>
        </w:p>
        <w:p w14:paraId="0605F3C1" w14:textId="054BC800" w:rsidR="006A4679" w:rsidRDefault="006A4679">
          <w:pPr>
            <w:pStyle w:val="TOC1"/>
            <w:tabs>
              <w:tab w:val="right" w:leader="dot" w:pos="9350"/>
            </w:tabs>
            <w:rPr>
              <w:rFonts w:asciiTheme="minorHAnsi" w:eastAsiaTheme="minorEastAsia" w:hAnsiTheme="minorHAnsi" w:cstheme="minorBidi"/>
              <w:noProof/>
              <w:kern w:val="2"/>
              <w:sz w:val="24"/>
              <w14:ligatures w14:val="standardContextual"/>
            </w:rPr>
          </w:pPr>
          <w:hyperlink w:anchor="_Toc222041020" w:history="1">
            <w:r w:rsidRPr="00233F83">
              <w:rPr>
                <w:rStyle w:val="Hyperlink"/>
                <w:noProof/>
              </w:rPr>
              <w:t>Exemplary Project Records</w:t>
            </w:r>
            <w:r>
              <w:rPr>
                <w:noProof/>
                <w:webHidden/>
              </w:rPr>
              <w:tab/>
            </w:r>
            <w:r>
              <w:rPr>
                <w:noProof/>
                <w:webHidden/>
              </w:rPr>
              <w:fldChar w:fldCharType="begin"/>
            </w:r>
            <w:r>
              <w:rPr>
                <w:noProof/>
                <w:webHidden/>
              </w:rPr>
              <w:instrText xml:space="preserve"> PAGEREF _Toc222041020 \h </w:instrText>
            </w:r>
            <w:r>
              <w:rPr>
                <w:noProof/>
                <w:webHidden/>
              </w:rPr>
            </w:r>
            <w:r>
              <w:rPr>
                <w:noProof/>
                <w:webHidden/>
              </w:rPr>
              <w:fldChar w:fldCharType="separate"/>
            </w:r>
            <w:r>
              <w:rPr>
                <w:noProof/>
                <w:webHidden/>
              </w:rPr>
              <w:t>5</w:t>
            </w:r>
            <w:r>
              <w:rPr>
                <w:noProof/>
                <w:webHidden/>
              </w:rPr>
              <w:fldChar w:fldCharType="end"/>
            </w:r>
          </w:hyperlink>
        </w:p>
        <w:p w14:paraId="2D64E2B2" w14:textId="251CE17E" w:rsidR="006A4679" w:rsidRDefault="006A4679">
          <w:pPr>
            <w:pStyle w:val="TOC1"/>
            <w:tabs>
              <w:tab w:val="right" w:leader="dot" w:pos="9350"/>
            </w:tabs>
            <w:rPr>
              <w:rFonts w:asciiTheme="minorHAnsi" w:eastAsiaTheme="minorEastAsia" w:hAnsiTheme="minorHAnsi" w:cstheme="minorBidi"/>
              <w:noProof/>
              <w:kern w:val="2"/>
              <w:sz w:val="24"/>
              <w14:ligatures w14:val="standardContextual"/>
            </w:rPr>
          </w:pPr>
          <w:hyperlink w:anchor="_Toc222041021" w:history="1">
            <w:r w:rsidRPr="00233F83">
              <w:rPr>
                <w:rStyle w:val="Hyperlink"/>
                <w:noProof/>
              </w:rPr>
              <w:t>Inefficiency Methodologies Exercised</w:t>
            </w:r>
            <w:r>
              <w:rPr>
                <w:noProof/>
                <w:webHidden/>
              </w:rPr>
              <w:tab/>
            </w:r>
            <w:r>
              <w:rPr>
                <w:noProof/>
                <w:webHidden/>
              </w:rPr>
              <w:fldChar w:fldCharType="begin"/>
            </w:r>
            <w:r>
              <w:rPr>
                <w:noProof/>
                <w:webHidden/>
              </w:rPr>
              <w:instrText xml:space="preserve"> PAGEREF _Toc222041021 \h </w:instrText>
            </w:r>
            <w:r>
              <w:rPr>
                <w:noProof/>
                <w:webHidden/>
              </w:rPr>
            </w:r>
            <w:r>
              <w:rPr>
                <w:noProof/>
                <w:webHidden/>
              </w:rPr>
              <w:fldChar w:fldCharType="separate"/>
            </w:r>
            <w:r>
              <w:rPr>
                <w:noProof/>
                <w:webHidden/>
              </w:rPr>
              <w:t>5</w:t>
            </w:r>
            <w:r>
              <w:rPr>
                <w:noProof/>
                <w:webHidden/>
              </w:rPr>
              <w:fldChar w:fldCharType="end"/>
            </w:r>
          </w:hyperlink>
        </w:p>
        <w:p w14:paraId="12598741" w14:textId="7ED280BD" w:rsidR="006A4679" w:rsidRDefault="006A4679">
          <w:pPr>
            <w:pStyle w:val="TOC2"/>
            <w:tabs>
              <w:tab w:val="right" w:leader="dot" w:pos="9350"/>
            </w:tabs>
            <w:rPr>
              <w:rFonts w:asciiTheme="minorHAnsi" w:eastAsiaTheme="minorEastAsia" w:hAnsiTheme="minorHAnsi" w:cstheme="minorBidi"/>
              <w:noProof/>
              <w:kern w:val="2"/>
              <w:sz w:val="24"/>
              <w14:ligatures w14:val="standardContextual"/>
            </w:rPr>
          </w:pPr>
          <w:hyperlink w:anchor="_Toc222041022" w:history="1">
            <w:r w:rsidRPr="00233F83">
              <w:rPr>
                <w:rStyle w:val="Hyperlink"/>
                <w:noProof/>
              </w:rPr>
              <w:t>Measured Mile</w:t>
            </w:r>
            <w:r>
              <w:rPr>
                <w:noProof/>
                <w:webHidden/>
              </w:rPr>
              <w:tab/>
            </w:r>
            <w:r>
              <w:rPr>
                <w:noProof/>
                <w:webHidden/>
              </w:rPr>
              <w:fldChar w:fldCharType="begin"/>
            </w:r>
            <w:r>
              <w:rPr>
                <w:noProof/>
                <w:webHidden/>
              </w:rPr>
              <w:instrText xml:space="preserve"> PAGEREF _Toc222041022 \h </w:instrText>
            </w:r>
            <w:r>
              <w:rPr>
                <w:noProof/>
                <w:webHidden/>
              </w:rPr>
            </w:r>
            <w:r>
              <w:rPr>
                <w:noProof/>
                <w:webHidden/>
              </w:rPr>
              <w:fldChar w:fldCharType="separate"/>
            </w:r>
            <w:r>
              <w:rPr>
                <w:noProof/>
                <w:webHidden/>
              </w:rPr>
              <w:t>5</w:t>
            </w:r>
            <w:r>
              <w:rPr>
                <w:noProof/>
                <w:webHidden/>
              </w:rPr>
              <w:fldChar w:fldCharType="end"/>
            </w:r>
          </w:hyperlink>
        </w:p>
        <w:p w14:paraId="0FA6921F" w14:textId="18E9659A" w:rsidR="006A4679" w:rsidRDefault="006A4679">
          <w:pPr>
            <w:pStyle w:val="TOC3"/>
            <w:tabs>
              <w:tab w:val="right" w:leader="dot" w:pos="9350"/>
            </w:tabs>
            <w:rPr>
              <w:noProof/>
              <w:kern w:val="2"/>
              <w:sz w:val="24"/>
              <w:szCs w:val="24"/>
              <w:lang w:eastAsia="en-US"/>
              <w14:ligatures w14:val="standardContextual"/>
            </w:rPr>
          </w:pPr>
          <w:hyperlink w:anchor="_Toc222041023" w:history="1">
            <w:r w:rsidRPr="00233F83">
              <w:rPr>
                <w:rStyle w:val="Hyperlink"/>
                <w:noProof/>
              </w:rPr>
              <w:t>Measured Mile Methodology Description</w:t>
            </w:r>
            <w:r>
              <w:rPr>
                <w:noProof/>
                <w:webHidden/>
              </w:rPr>
              <w:tab/>
            </w:r>
            <w:r>
              <w:rPr>
                <w:noProof/>
                <w:webHidden/>
              </w:rPr>
              <w:fldChar w:fldCharType="begin"/>
            </w:r>
            <w:r>
              <w:rPr>
                <w:noProof/>
                <w:webHidden/>
              </w:rPr>
              <w:instrText xml:space="preserve"> PAGEREF _Toc222041023 \h </w:instrText>
            </w:r>
            <w:r>
              <w:rPr>
                <w:noProof/>
                <w:webHidden/>
              </w:rPr>
            </w:r>
            <w:r>
              <w:rPr>
                <w:noProof/>
                <w:webHidden/>
              </w:rPr>
              <w:fldChar w:fldCharType="separate"/>
            </w:r>
            <w:r>
              <w:rPr>
                <w:noProof/>
                <w:webHidden/>
              </w:rPr>
              <w:t>5</w:t>
            </w:r>
            <w:r>
              <w:rPr>
                <w:noProof/>
                <w:webHidden/>
              </w:rPr>
              <w:fldChar w:fldCharType="end"/>
            </w:r>
          </w:hyperlink>
        </w:p>
        <w:p w14:paraId="04406A02" w14:textId="019CCBB8" w:rsidR="006A4679" w:rsidRDefault="006A4679">
          <w:pPr>
            <w:pStyle w:val="TOC3"/>
            <w:tabs>
              <w:tab w:val="right" w:leader="dot" w:pos="9350"/>
            </w:tabs>
            <w:rPr>
              <w:noProof/>
              <w:kern w:val="2"/>
              <w:sz w:val="24"/>
              <w:szCs w:val="24"/>
              <w:lang w:eastAsia="en-US"/>
              <w14:ligatures w14:val="standardContextual"/>
            </w:rPr>
          </w:pPr>
          <w:hyperlink w:anchor="_Toc222041024" w:history="1">
            <w:r w:rsidRPr="00233F83">
              <w:rPr>
                <w:rStyle w:val="Hyperlink"/>
                <w:noProof/>
              </w:rPr>
              <w:t>Appropriate Use of Measured Mile Methodology</w:t>
            </w:r>
            <w:r>
              <w:rPr>
                <w:noProof/>
                <w:webHidden/>
              </w:rPr>
              <w:tab/>
            </w:r>
            <w:r>
              <w:rPr>
                <w:noProof/>
                <w:webHidden/>
              </w:rPr>
              <w:fldChar w:fldCharType="begin"/>
            </w:r>
            <w:r>
              <w:rPr>
                <w:noProof/>
                <w:webHidden/>
              </w:rPr>
              <w:instrText xml:space="preserve"> PAGEREF _Toc222041024 \h </w:instrText>
            </w:r>
            <w:r>
              <w:rPr>
                <w:noProof/>
                <w:webHidden/>
              </w:rPr>
            </w:r>
            <w:r>
              <w:rPr>
                <w:noProof/>
                <w:webHidden/>
              </w:rPr>
              <w:fldChar w:fldCharType="separate"/>
            </w:r>
            <w:r>
              <w:rPr>
                <w:noProof/>
                <w:webHidden/>
              </w:rPr>
              <w:t>6</w:t>
            </w:r>
            <w:r>
              <w:rPr>
                <w:noProof/>
                <w:webHidden/>
              </w:rPr>
              <w:fldChar w:fldCharType="end"/>
            </w:r>
          </w:hyperlink>
        </w:p>
        <w:p w14:paraId="362F91CA" w14:textId="6E46EA64" w:rsidR="006A4679" w:rsidRDefault="006A4679">
          <w:pPr>
            <w:pStyle w:val="TOC3"/>
            <w:tabs>
              <w:tab w:val="right" w:leader="dot" w:pos="9350"/>
            </w:tabs>
            <w:rPr>
              <w:noProof/>
              <w:kern w:val="2"/>
              <w:sz w:val="24"/>
              <w:szCs w:val="24"/>
              <w:lang w:eastAsia="en-US"/>
              <w14:ligatures w14:val="standardContextual"/>
            </w:rPr>
          </w:pPr>
          <w:hyperlink w:anchor="_Toc222041025" w:history="1">
            <w:r w:rsidRPr="00233F83">
              <w:rPr>
                <w:rStyle w:val="Hyperlink"/>
                <w:noProof/>
              </w:rPr>
              <w:t>Measured Mile Methodology Results</w:t>
            </w:r>
            <w:r>
              <w:rPr>
                <w:noProof/>
                <w:webHidden/>
              </w:rPr>
              <w:tab/>
            </w:r>
            <w:r>
              <w:rPr>
                <w:noProof/>
                <w:webHidden/>
              </w:rPr>
              <w:fldChar w:fldCharType="begin"/>
            </w:r>
            <w:r>
              <w:rPr>
                <w:noProof/>
                <w:webHidden/>
              </w:rPr>
              <w:instrText xml:space="preserve"> PAGEREF _Toc222041025 \h </w:instrText>
            </w:r>
            <w:r>
              <w:rPr>
                <w:noProof/>
                <w:webHidden/>
              </w:rPr>
            </w:r>
            <w:r>
              <w:rPr>
                <w:noProof/>
                <w:webHidden/>
              </w:rPr>
              <w:fldChar w:fldCharType="separate"/>
            </w:r>
            <w:r>
              <w:rPr>
                <w:noProof/>
                <w:webHidden/>
              </w:rPr>
              <w:t>6</w:t>
            </w:r>
            <w:r>
              <w:rPr>
                <w:noProof/>
                <w:webHidden/>
              </w:rPr>
              <w:fldChar w:fldCharType="end"/>
            </w:r>
          </w:hyperlink>
        </w:p>
        <w:p w14:paraId="59F8BBA9" w14:textId="1FAB159B" w:rsidR="006A4679" w:rsidRDefault="006A4679">
          <w:pPr>
            <w:pStyle w:val="TOC2"/>
            <w:tabs>
              <w:tab w:val="right" w:leader="dot" w:pos="9350"/>
            </w:tabs>
            <w:rPr>
              <w:rFonts w:asciiTheme="minorHAnsi" w:eastAsiaTheme="minorEastAsia" w:hAnsiTheme="minorHAnsi" w:cstheme="minorBidi"/>
              <w:noProof/>
              <w:kern w:val="2"/>
              <w:sz w:val="24"/>
              <w14:ligatures w14:val="standardContextual"/>
            </w:rPr>
          </w:pPr>
          <w:hyperlink w:anchor="_Toc222041026" w:history="1">
            <w:r w:rsidRPr="00233F83">
              <w:rPr>
                <w:rStyle w:val="Hyperlink"/>
                <w:noProof/>
              </w:rPr>
              <w:t>MCAA Model</w:t>
            </w:r>
            <w:r>
              <w:rPr>
                <w:noProof/>
                <w:webHidden/>
              </w:rPr>
              <w:tab/>
            </w:r>
            <w:r>
              <w:rPr>
                <w:noProof/>
                <w:webHidden/>
              </w:rPr>
              <w:fldChar w:fldCharType="begin"/>
            </w:r>
            <w:r>
              <w:rPr>
                <w:noProof/>
                <w:webHidden/>
              </w:rPr>
              <w:instrText xml:space="preserve"> PAGEREF _Toc222041026 \h </w:instrText>
            </w:r>
            <w:r>
              <w:rPr>
                <w:noProof/>
                <w:webHidden/>
              </w:rPr>
            </w:r>
            <w:r>
              <w:rPr>
                <w:noProof/>
                <w:webHidden/>
              </w:rPr>
              <w:fldChar w:fldCharType="separate"/>
            </w:r>
            <w:r>
              <w:rPr>
                <w:noProof/>
                <w:webHidden/>
              </w:rPr>
              <w:t>7</w:t>
            </w:r>
            <w:r>
              <w:rPr>
                <w:noProof/>
                <w:webHidden/>
              </w:rPr>
              <w:fldChar w:fldCharType="end"/>
            </w:r>
          </w:hyperlink>
        </w:p>
        <w:p w14:paraId="364434F6" w14:textId="27D7F18A" w:rsidR="006A4679" w:rsidRDefault="006A4679">
          <w:pPr>
            <w:pStyle w:val="TOC3"/>
            <w:tabs>
              <w:tab w:val="right" w:leader="dot" w:pos="9350"/>
            </w:tabs>
            <w:rPr>
              <w:noProof/>
              <w:kern w:val="2"/>
              <w:sz w:val="24"/>
              <w:szCs w:val="24"/>
              <w:lang w:eastAsia="en-US"/>
              <w14:ligatures w14:val="standardContextual"/>
            </w:rPr>
          </w:pPr>
          <w:hyperlink w:anchor="_Toc222041027" w:history="1">
            <w:r w:rsidRPr="00233F83">
              <w:rPr>
                <w:rStyle w:val="Hyperlink"/>
                <w:noProof/>
              </w:rPr>
              <w:t>MCAA Model Methodology Description</w:t>
            </w:r>
            <w:r>
              <w:rPr>
                <w:noProof/>
                <w:webHidden/>
              </w:rPr>
              <w:tab/>
            </w:r>
            <w:r>
              <w:rPr>
                <w:noProof/>
                <w:webHidden/>
              </w:rPr>
              <w:fldChar w:fldCharType="begin"/>
            </w:r>
            <w:r>
              <w:rPr>
                <w:noProof/>
                <w:webHidden/>
              </w:rPr>
              <w:instrText xml:space="preserve"> PAGEREF _Toc222041027 \h </w:instrText>
            </w:r>
            <w:r>
              <w:rPr>
                <w:noProof/>
                <w:webHidden/>
              </w:rPr>
            </w:r>
            <w:r>
              <w:rPr>
                <w:noProof/>
                <w:webHidden/>
              </w:rPr>
              <w:fldChar w:fldCharType="separate"/>
            </w:r>
            <w:r>
              <w:rPr>
                <w:noProof/>
                <w:webHidden/>
              </w:rPr>
              <w:t>7</w:t>
            </w:r>
            <w:r>
              <w:rPr>
                <w:noProof/>
                <w:webHidden/>
              </w:rPr>
              <w:fldChar w:fldCharType="end"/>
            </w:r>
          </w:hyperlink>
        </w:p>
        <w:p w14:paraId="71B090CA" w14:textId="73F4DC5D" w:rsidR="006A4679" w:rsidRDefault="006A4679">
          <w:pPr>
            <w:pStyle w:val="TOC3"/>
            <w:tabs>
              <w:tab w:val="right" w:leader="dot" w:pos="9350"/>
            </w:tabs>
            <w:rPr>
              <w:noProof/>
              <w:kern w:val="2"/>
              <w:sz w:val="24"/>
              <w:szCs w:val="24"/>
              <w:lang w:eastAsia="en-US"/>
              <w14:ligatures w14:val="standardContextual"/>
            </w:rPr>
          </w:pPr>
          <w:hyperlink w:anchor="_Toc222041028" w:history="1">
            <w:r w:rsidRPr="00233F83">
              <w:rPr>
                <w:rStyle w:val="Hyperlink"/>
                <w:noProof/>
              </w:rPr>
              <w:t>Appropriate Use of MCAA Model Methodology</w:t>
            </w:r>
            <w:r>
              <w:rPr>
                <w:noProof/>
                <w:webHidden/>
              </w:rPr>
              <w:tab/>
            </w:r>
            <w:r>
              <w:rPr>
                <w:noProof/>
                <w:webHidden/>
              </w:rPr>
              <w:fldChar w:fldCharType="begin"/>
            </w:r>
            <w:r>
              <w:rPr>
                <w:noProof/>
                <w:webHidden/>
              </w:rPr>
              <w:instrText xml:space="preserve"> PAGEREF _Toc222041028 \h </w:instrText>
            </w:r>
            <w:r>
              <w:rPr>
                <w:noProof/>
                <w:webHidden/>
              </w:rPr>
            </w:r>
            <w:r>
              <w:rPr>
                <w:noProof/>
                <w:webHidden/>
              </w:rPr>
              <w:fldChar w:fldCharType="separate"/>
            </w:r>
            <w:r>
              <w:rPr>
                <w:noProof/>
                <w:webHidden/>
              </w:rPr>
              <w:t>8</w:t>
            </w:r>
            <w:r>
              <w:rPr>
                <w:noProof/>
                <w:webHidden/>
              </w:rPr>
              <w:fldChar w:fldCharType="end"/>
            </w:r>
          </w:hyperlink>
        </w:p>
        <w:p w14:paraId="1DAF83E8" w14:textId="6507A9E3" w:rsidR="006A4679" w:rsidRDefault="006A4679">
          <w:pPr>
            <w:pStyle w:val="TOC3"/>
            <w:tabs>
              <w:tab w:val="right" w:leader="dot" w:pos="9350"/>
            </w:tabs>
            <w:rPr>
              <w:noProof/>
              <w:kern w:val="2"/>
              <w:sz w:val="24"/>
              <w:szCs w:val="24"/>
              <w:lang w:eastAsia="en-US"/>
              <w14:ligatures w14:val="standardContextual"/>
            </w:rPr>
          </w:pPr>
          <w:hyperlink w:anchor="_Toc222041029" w:history="1">
            <w:r w:rsidRPr="00233F83">
              <w:rPr>
                <w:rStyle w:val="Hyperlink"/>
                <w:noProof/>
              </w:rPr>
              <w:t>MCAA Model Methodology Results</w:t>
            </w:r>
            <w:r>
              <w:rPr>
                <w:noProof/>
                <w:webHidden/>
              </w:rPr>
              <w:tab/>
            </w:r>
            <w:r>
              <w:rPr>
                <w:noProof/>
                <w:webHidden/>
              </w:rPr>
              <w:fldChar w:fldCharType="begin"/>
            </w:r>
            <w:r>
              <w:rPr>
                <w:noProof/>
                <w:webHidden/>
              </w:rPr>
              <w:instrText xml:space="preserve"> PAGEREF _Toc222041029 \h </w:instrText>
            </w:r>
            <w:r>
              <w:rPr>
                <w:noProof/>
                <w:webHidden/>
              </w:rPr>
            </w:r>
            <w:r>
              <w:rPr>
                <w:noProof/>
                <w:webHidden/>
              </w:rPr>
              <w:fldChar w:fldCharType="separate"/>
            </w:r>
            <w:r>
              <w:rPr>
                <w:noProof/>
                <w:webHidden/>
              </w:rPr>
              <w:t>9</w:t>
            </w:r>
            <w:r>
              <w:rPr>
                <w:noProof/>
                <w:webHidden/>
              </w:rPr>
              <w:fldChar w:fldCharType="end"/>
            </w:r>
          </w:hyperlink>
        </w:p>
        <w:p w14:paraId="71640BC2" w14:textId="03D2E261" w:rsidR="006A4679" w:rsidRDefault="006A4679">
          <w:pPr>
            <w:pStyle w:val="TOC2"/>
            <w:tabs>
              <w:tab w:val="right" w:leader="dot" w:pos="9350"/>
            </w:tabs>
            <w:rPr>
              <w:rFonts w:asciiTheme="minorHAnsi" w:eastAsiaTheme="minorEastAsia" w:hAnsiTheme="minorHAnsi" w:cstheme="minorBidi"/>
              <w:noProof/>
              <w:kern w:val="2"/>
              <w:sz w:val="24"/>
              <w14:ligatures w14:val="standardContextual"/>
            </w:rPr>
          </w:pPr>
          <w:hyperlink w:anchor="_Toc222041030" w:history="1">
            <w:r w:rsidRPr="00233F83">
              <w:rPr>
                <w:rStyle w:val="Hyperlink"/>
                <w:noProof/>
              </w:rPr>
              <w:t>Total Cost</w:t>
            </w:r>
            <w:r>
              <w:rPr>
                <w:noProof/>
                <w:webHidden/>
              </w:rPr>
              <w:tab/>
            </w:r>
            <w:r>
              <w:rPr>
                <w:noProof/>
                <w:webHidden/>
              </w:rPr>
              <w:fldChar w:fldCharType="begin"/>
            </w:r>
            <w:r>
              <w:rPr>
                <w:noProof/>
                <w:webHidden/>
              </w:rPr>
              <w:instrText xml:space="preserve"> PAGEREF _Toc222041030 \h </w:instrText>
            </w:r>
            <w:r>
              <w:rPr>
                <w:noProof/>
                <w:webHidden/>
              </w:rPr>
            </w:r>
            <w:r>
              <w:rPr>
                <w:noProof/>
                <w:webHidden/>
              </w:rPr>
              <w:fldChar w:fldCharType="separate"/>
            </w:r>
            <w:r>
              <w:rPr>
                <w:noProof/>
                <w:webHidden/>
              </w:rPr>
              <w:t>9</w:t>
            </w:r>
            <w:r>
              <w:rPr>
                <w:noProof/>
                <w:webHidden/>
              </w:rPr>
              <w:fldChar w:fldCharType="end"/>
            </w:r>
          </w:hyperlink>
        </w:p>
        <w:p w14:paraId="2623FF53" w14:textId="4F7C2F7A" w:rsidR="006A4679" w:rsidRDefault="006A4679">
          <w:pPr>
            <w:pStyle w:val="TOC3"/>
            <w:tabs>
              <w:tab w:val="right" w:leader="dot" w:pos="9350"/>
            </w:tabs>
            <w:rPr>
              <w:noProof/>
              <w:kern w:val="2"/>
              <w:sz w:val="24"/>
              <w:szCs w:val="24"/>
              <w:lang w:eastAsia="en-US"/>
              <w14:ligatures w14:val="standardContextual"/>
            </w:rPr>
          </w:pPr>
          <w:hyperlink w:anchor="_Toc222041031" w:history="1">
            <w:r w:rsidRPr="00233F83">
              <w:rPr>
                <w:rStyle w:val="Hyperlink"/>
                <w:noProof/>
              </w:rPr>
              <w:t>Total Cost Methodology Description</w:t>
            </w:r>
            <w:r>
              <w:rPr>
                <w:noProof/>
                <w:webHidden/>
              </w:rPr>
              <w:tab/>
            </w:r>
            <w:r>
              <w:rPr>
                <w:noProof/>
                <w:webHidden/>
              </w:rPr>
              <w:fldChar w:fldCharType="begin"/>
            </w:r>
            <w:r>
              <w:rPr>
                <w:noProof/>
                <w:webHidden/>
              </w:rPr>
              <w:instrText xml:space="preserve"> PAGEREF _Toc222041031 \h </w:instrText>
            </w:r>
            <w:r>
              <w:rPr>
                <w:noProof/>
                <w:webHidden/>
              </w:rPr>
            </w:r>
            <w:r>
              <w:rPr>
                <w:noProof/>
                <w:webHidden/>
              </w:rPr>
              <w:fldChar w:fldCharType="separate"/>
            </w:r>
            <w:r>
              <w:rPr>
                <w:noProof/>
                <w:webHidden/>
              </w:rPr>
              <w:t>9</w:t>
            </w:r>
            <w:r>
              <w:rPr>
                <w:noProof/>
                <w:webHidden/>
              </w:rPr>
              <w:fldChar w:fldCharType="end"/>
            </w:r>
          </w:hyperlink>
        </w:p>
        <w:p w14:paraId="4E06D1B8" w14:textId="3F48990C" w:rsidR="006A4679" w:rsidRDefault="006A4679">
          <w:pPr>
            <w:pStyle w:val="TOC3"/>
            <w:tabs>
              <w:tab w:val="right" w:leader="dot" w:pos="9350"/>
            </w:tabs>
            <w:rPr>
              <w:noProof/>
              <w:kern w:val="2"/>
              <w:sz w:val="24"/>
              <w:szCs w:val="24"/>
              <w:lang w:eastAsia="en-US"/>
              <w14:ligatures w14:val="standardContextual"/>
            </w:rPr>
          </w:pPr>
          <w:hyperlink w:anchor="_Toc222041032" w:history="1">
            <w:r w:rsidRPr="00233F83">
              <w:rPr>
                <w:rStyle w:val="Hyperlink"/>
                <w:noProof/>
              </w:rPr>
              <w:t>Appropriate Use of Total Cost Methodology</w:t>
            </w:r>
            <w:r>
              <w:rPr>
                <w:noProof/>
                <w:webHidden/>
              </w:rPr>
              <w:tab/>
            </w:r>
            <w:r>
              <w:rPr>
                <w:noProof/>
                <w:webHidden/>
              </w:rPr>
              <w:fldChar w:fldCharType="begin"/>
            </w:r>
            <w:r>
              <w:rPr>
                <w:noProof/>
                <w:webHidden/>
              </w:rPr>
              <w:instrText xml:space="preserve"> PAGEREF _Toc222041032 \h </w:instrText>
            </w:r>
            <w:r>
              <w:rPr>
                <w:noProof/>
                <w:webHidden/>
              </w:rPr>
            </w:r>
            <w:r>
              <w:rPr>
                <w:noProof/>
                <w:webHidden/>
              </w:rPr>
              <w:fldChar w:fldCharType="separate"/>
            </w:r>
            <w:r>
              <w:rPr>
                <w:noProof/>
                <w:webHidden/>
              </w:rPr>
              <w:t>10</w:t>
            </w:r>
            <w:r>
              <w:rPr>
                <w:noProof/>
                <w:webHidden/>
              </w:rPr>
              <w:fldChar w:fldCharType="end"/>
            </w:r>
          </w:hyperlink>
        </w:p>
        <w:p w14:paraId="76A84D04" w14:textId="09E93D42" w:rsidR="006A4679" w:rsidRDefault="006A4679">
          <w:pPr>
            <w:pStyle w:val="TOC3"/>
            <w:tabs>
              <w:tab w:val="right" w:leader="dot" w:pos="9350"/>
            </w:tabs>
            <w:rPr>
              <w:noProof/>
              <w:kern w:val="2"/>
              <w:sz w:val="24"/>
              <w:szCs w:val="24"/>
              <w:lang w:eastAsia="en-US"/>
              <w14:ligatures w14:val="standardContextual"/>
            </w:rPr>
          </w:pPr>
          <w:hyperlink w:anchor="_Toc222041033" w:history="1">
            <w:r w:rsidRPr="00233F83">
              <w:rPr>
                <w:rStyle w:val="Hyperlink"/>
                <w:noProof/>
              </w:rPr>
              <w:t>Total Cost Methodology Results</w:t>
            </w:r>
            <w:r>
              <w:rPr>
                <w:noProof/>
                <w:webHidden/>
              </w:rPr>
              <w:tab/>
            </w:r>
            <w:r>
              <w:rPr>
                <w:noProof/>
                <w:webHidden/>
              </w:rPr>
              <w:fldChar w:fldCharType="begin"/>
            </w:r>
            <w:r>
              <w:rPr>
                <w:noProof/>
                <w:webHidden/>
              </w:rPr>
              <w:instrText xml:space="preserve"> PAGEREF _Toc222041033 \h </w:instrText>
            </w:r>
            <w:r>
              <w:rPr>
                <w:noProof/>
                <w:webHidden/>
              </w:rPr>
            </w:r>
            <w:r>
              <w:rPr>
                <w:noProof/>
                <w:webHidden/>
              </w:rPr>
              <w:fldChar w:fldCharType="separate"/>
            </w:r>
            <w:r>
              <w:rPr>
                <w:noProof/>
                <w:webHidden/>
              </w:rPr>
              <w:t>10</w:t>
            </w:r>
            <w:r>
              <w:rPr>
                <w:noProof/>
                <w:webHidden/>
              </w:rPr>
              <w:fldChar w:fldCharType="end"/>
            </w:r>
          </w:hyperlink>
        </w:p>
        <w:p w14:paraId="319F961A" w14:textId="49B8F5E2" w:rsidR="006A4679" w:rsidRDefault="006A4679">
          <w:pPr>
            <w:pStyle w:val="TOC2"/>
            <w:tabs>
              <w:tab w:val="right" w:leader="dot" w:pos="9350"/>
            </w:tabs>
            <w:rPr>
              <w:rFonts w:asciiTheme="minorHAnsi" w:eastAsiaTheme="minorEastAsia" w:hAnsiTheme="minorHAnsi" w:cstheme="minorBidi"/>
              <w:noProof/>
              <w:kern w:val="2"/>
              <w:sz w:val="24"/>
              <w14:ligatures w14:val="standardContextual"/>
            </w:rPr>
          </w:pPr>
          <w:hyperlink w:anchor="_Toc222041034" w:history="1">
            <w:r w:rsidRPr="00233F83">
              <w:rPr>
                <w:rStyle w:val="Hyperlink"/>
                <w:noProof/>
              </w:rPr>
              <w:t>Ibbs Productivity Formula</w:t>
            </w:r>
            <w:r>
              <w:rPr>
                <w:noProof/>
                <w:webHidden/>
              </w:rPr>
              <w:tab/>
            </w:r>
            <w:r>
              <w:rPr>
                <w:noProof/>
                <w:webHidden/>
              </w:rPr>
              <w:fldChar w:fldCharType="begin"/>
            </w:r>
            <w:r>
              <w:rPr>
                <w:noProof/>
                <w:webHidden/>
              </w:rPr>
              <w:instrText xml:space="preserve"> PAGEREF _Toc222041034 \h </w:instrText>
            </w:r>
            <w:r>
              <w:rPr>
                <w:noProof/>
                <w:webHidden/>
              </w:rPr>
            </w:r>
            <w:r>
              <w:rPr>
                <w:noProof/>
                <w:webHidden/>
              </w:rPr>
              <w:fldChar w:fldCharType="separate"/>
            </w:r>
            <w:r>
              <w:rPr>
                <w:noProof/>
                <w:webHidden/>
              </w:rPr>
              <w:t>11</w:t>
            </w:r>
            <w:r>
              <w:rPr>
                <w:noProof/>
                <w:webHidden/>
              </w:rPr>
              <w:fldChar w:fldCharType="end"/>
            </w:r>
          </w:hyperlink>
        </w:p>
        <w:p w14:paraId="524E42D4" w14:textId="22BD9AA0" w:rsidR="006A4679" w:rsidRDefault="006A4679">
          <w:pPr>
            <w:pStyle w:val="TOC3"/>
            <w:tabs>
              <w:tab w:val="right" w:leader="dot" w:pos="9350"/>
            </w:tabs>
            <w:rPr>
              <w:noProof/>
              <w:kern w:val="2"/>
              <w:sz w:val="24"/>
              <w:szCs w:val="24"/>
              <w:lang w:eastAsia="en-US"/>
              <w14:ligatures w14:val="standardContextual"/>
            </w:rPr>
          </w:pPr>
          <w:hyperlink w:anchor="_Toc222041035" w:history="1">
            <w:r w:rsidRPr="00233F83">
              <w:rPr>
                <w:rStyle w:val="Hyperlink"/>
                <w:noProof/>
              </w:rPr>
              <w:t>Ibbs Productivity Formula Methodology Description</w:t>
            </w:r>
            <w:r>
              <w:rPr>
                <w:noProof/>
                <w:webHidden/>
              </w:rPr>
              <w:tab/>
            </w:r>
            <w:r>
              <w:rPr>
                <w:noProof/>
                <w:webHidden/>
              </w:rPr>
              <w:fldChar w:fldCharType="begin"/>
            </w:r>
            <w:r>
              <w:rPr>
                <w:noProof/>
                <w:webHidden/>
              </w:rPr>
              <w:instrText xml:space="preserve"> PAGEREF _Toc222041035 \h </w:instrText>
            </w:r>
            <w:r>
              <w:rPr>
                <w:noProof/>
                <w:webHidden/>
              </w:rPr>
            </w:r>
            <w:r>
              <w:rPr>
                <w:noProof/>
                <w:webHidden/>
              </w:rPr>
              <w:fldChar w:fldCharType="separate"/>
            </w:r>
            <w:r>
              <w:rPr>
                <w:noProof/>
                <w:webHidden/>
              </w:rPr>
              <w:t>11</w:t>
            </w:r>
            <w:r>
              <w:rPr>
                <w:noProof/>
                <w:webHidden/>
              </w:rPr>
              <w:fldChar w:fldCharType="end"/>
            </w:r>
          </w:hyperlink>
        </w:p>
        <w:p w14:paraId="1F66A1A0" w14:textId="114A21E5" w:rsidR="006A4679" w:rsidRDefault="006A4679">
          <w:pPr>
            <w:pStyle w:val="TOC3"/>
            <w:tabs>
              <w:tab w:val="right" w:leader="dot" w:pos="9350"/>
            </w:tabs>
            <w:rPr>
              <w:noProof/>
              <w:kern w:val="2"/>
              <w:sz w:val="24"/>
              <w:szCs w:val="24"/>
              <w:lang w:eastAsia="en-US"/>
              <w14:ligatures w14:val="standardContextual"/>
            </w:rPr>
          </w:pPr>
          <w:hyperlink w:anchor="_Toc222041036" w:history="1">
            <w:r w:rsidRPr="00233F83">
              <w:rPr>
                <w:rStyle w:val="Hyperlink"/>
                <w:noProof/>
              </w:rPr>
              <w:t>Appropriate Use of Ibbs Curve Methodology</w:t>
            </w:r>
            <w:r>
              <w:rPr>
                <w:noProof/>
                <w:webHidden/>
              </w:rPr>
              <w:tab/>
            </w:r>
            <w:r>
              <w:rPr>
                <w:noProof/>
                <w:webHidden/>
              </w:rPr>
              <w:fldChar w:fldCharType="begin"/>
            </w:r>
            <w:r>
              <w:rPr>
                <w:noProof/>
                <w:webHidden/>
              </w:rPr>
              <w:instrText xml:space="preserve"> PAGEREF _Toc222041036 \h </w:instrText>
            </w:r>
            <w:r>
              <w:rPr>
                <w:noProof/>
                <w:webHidden/>
              </w:rPr>
            </w:r>
            <w:r>
              <w:rPr>
                <w:noProof/>
                <w:webHidden/>
              </w:rPr>
              <w:fldChar w:fldCharType="separate"/>
            </w:r>
            <w:r>
              <w:rPr>
                <w:noProof/>
                <w:webHidden/>
              </w:rPr>
              <w:t>13</w:t>
            </w:r>
            <w:r>
              <w:rPr>
                <w:noProof/>
                <w:webHidden/>
              </w:rPr>
              <w:fldChar w:fldCharType="end"/>
            </w:r>
          </w:hyperlink>
        </w:p>
        <w:p w14:paraId="3F532C1A" w14:textId="64B3F426" w:rsidR="006A4679" w:rsidRDefault="006A4679">
          <w:pPr>
            <w:pStyle w:val="TOC3"/>
            <w:tabs>
              <w:tab w:val="right" w:leader="dot" w:pos="9350"/>
            </w:tabs>
            <w:rPr>
              <w:noProof/>
              <w:kern w:val="2"/>
              <w:sz w:val="24"/>
              <w:szCs w:val="24"/>
              <w:lang w:eastAsia="en-US"/>
              <w14:ligatures w14:val="standardContextual"/>
            </w:rPr>
          </w:pPr>
          <w:hyperlink w:anchor="_Toc222041037" w:history="1">
            <w:r w:rsidRPr="00233F83">
              <w:rPr>
                <w:rStyle w:val="Hyperlink"/>
                <w:noProof/>
              </w:rPr>
              <w:t>Ibbs Curve Methodology Results</w:t>
            </w:r>
            <w:r>
              <w:rPr>
                <w:noProof/>
                <w:webHidden/>
              </w:rPr>
              <w:tab/>
            </w:r>
            <w:r>
              <w:rPr>
                <w:noProof/>
                <w:webHidden/>
              </w:rPr>
              <w:fldChar w:fldCharType="begin"/>
            </w:r>
            <w:r>
              <w:rPr>
                <w:noProof/>
                <w:webHidden/>
              </w:rPr>
              <w:instrText xml:space="preserve"> PAGEREF _Toc222041037 \h </w:instrText>
            </w:r>
            <w:r>
              <w:rPr>
                <w:noProof/>
                <w:webHidden/>
              </w:rPr>
            </w:r>
            <w:r>
              <w:rPr>
                <w:noProof/>
                <w:webHidden/>
              </w:rPr>
              <w:fldChar w:fldCharType="separate"/>
            </w:r>
            <w:r>
              <w:rPr>
                <w:noProof/>
                <w:webHidden/>
              </w:rPr>
              <w:t>13</w:t>
            </w:r>
            <w:r>
              <w:rPr>
                <w:noProof/>
                <w:webHidden/>
              </w:rPr>
              <w:fldChar w:fldCharType="end"/>
            </w:r>
          </w:hyperlink>
        </w:p>
        <w:p w14:paraId="74CFA507" w14:textId="2EE365B6" w:rsidR="006A4679" w:rsidRDefault="006A4679">
          <w:pPr>
            <w:pStyle w:val="TOC2"/>
            <w:tabs>
              <w:tab w:val="right" w:leader="dot" w:pos="9350"/>
            </w:tabs>
            <w:rPr>
              <w:rFonts w:asciiTheme="minorHAnsi" w:eastAsiaTheme="minorEastAsia" w:hAnsiTheme="minorHAnsi" w:cstheme="minorBidi"/>
              <w:noProof/>
              <w:kern w:val="2"/>
              <w:sz w:val="24"/>
              <w14:ligatures w14:val="standardContextual"/>
            </w:rPr>
          </w:pPr>
          <w:hyperlink w:anchor="_Toc222041038" w:history="1">
            <w:r w:rsidRPr="00233F83">
              <w:rPr>
                <w:rStyle w:val="Hyperlink"/>
                <w:noProof/>
              </w:rPr>
              <w:t>Summary, Quantification, and Comparison of Results</w:t>
            </w:r>
            <w:r>
              <w:rPr>
                <w:noProof/>
                <w:webHidden/>
              </w:rPr>
              <w:tab/>
            </w:r>
            <w:r>
              <w:rPr>
                <w:noProof/>
                <w:webHidden/>
              </w:rPr>
              <w:fldChar w:fldCharType="begin"/>
            </w:r>
            <w:r>
              <w:rPr>
                <w:noProof/>
                <w:webHidden/>
              </w:rPr>
              <w:instrText xml:space="preserve"> PAGEREF _Toc222041038 \h </w:instrText>
            </w:r>
            <w:r>
              <w:rPr>
                <w:noProof/>
                <w:webHidden/>
              </w:rPr>
            </w:r>
            <w:r>
              <w:rPr>
                <w:noProof/>
                <w:webHidden/>
              </w:rPr>
              <w:fldChar w:fldCharType="separate"/>
            </w:r>
            <w:r>
              <w:rPr>
                <w:noProof/>
                <w:webHidden/>
              </w:rPr>
              <w:t>13</w:t>
            </w:r>
            <w:r>
              <w:rPr>
                <w:noProof/>
                <w:webHidden/>
              </w:rPr>
              <w:fldChar w:fldCharType="end"/>
            </w:r>
          </w:hyperlink>
        </w:p>
        <w:p w14:paraId="5CFAF79A" w14:textId="78E1EB09" w:rsidR="006A4679" w:rsidRDefault="006A4679">
          <w:pPr>
            <w:pStyle w:val="TOC1"/>
            <w:tabs>
              <w:tab w:val="right" w:leader="dot" w:pos="9350"/>
            </w:tabs>
            <w:rPr>
              <w:rFonts w:asciiTheme="minorHAnsi" w:eastAsiaTheme="minorEastAsia" w:hAnsiTheme="minorHAnsi" w:cstheme="minorBidi"/>
              <w:noProof/>
              <w:kern w:val="2"/>
              <w:sz w:val="24"/>
              <w14:ligatures w14:val="standardContextual"/>
            </w:rPr>
          </w:pPr>
          <w:hyperlink w:anchor="_Toc222041039" w:history="1">
            <w:r w:rsidRPr="00233F83">
              <w:rPr>
                <w:rStyle w:val="Hyperlink"/>
                <w:noProof/>
              </w:rPr>
              <w:t>Conclusion</w:t>
            </w:r>
            <w:r>
              <w:rPr>
                <w:noProof/>
                <w:webHidden/>
              </w:rPr>
              <w:tab/>
            </w:r>
            <w:r>
              <w:rPr>
                <w:noProof/>
                <w:webHidden/>
              </w:rPr>
              <w:fldChar w:fldCharType="begin"/>
            </w:r>
            <w:r>
              <w:rPr>
                <w:noProof/>
                <w:webHidden/>
              </w:rPr>
              <w:instrText xml:space="preserve"> PAGEREF _Toc222041039 \h </w:instrText>
            </w:r>
            <w:r>
              <w:rPr>
                <w:noProof/>
                <w:webHidden/>
              </w:rPr>
            </w:r>
            <w:r>
              <w:rPr>
                <w:noProof/>
                <w:webHidden/>
              </w:rPr>
              <w:fldChar w:fldCharType="separate"/>
            </w:r>
            <w:r>
              <w:rPr>
                <w:noProof/>
                <w:webHidden/>
              </w:rPr>
              <w:t>14</w:t>
            </w:r>
            <w:r>
              <w:rPr>
                <w:noProof/>
                <w:webHidden/>
              </w:rPr>
              <w:fldChar w:fldCharType="end"/>
            </w:r>
          </w:hyperlink>
        </w:p>
        <w:p w14:paraId="22F9A4BE" w14:textId="1AD03BAC" w:rsidR="006A4679" w:rsidRDefault="006A4679">
          <w:pPr>
            <w:pStyle w:val="TOC1"/>
            <w:tabs>
              <w:tab w:val="right" w:leader="dot" w:pos="9350"/>
            </w:tabs>
            <w:rPr>
              <w:rFonts w:asciiTheme="minorHAnsi" w:eastAsiaTheme="minorEastAsia" w:hAnsiTheme="minorHAnsi" w:cstheme="minorBidi"/>
              <w:noProof/>
              <w:kern w:val="2"/>
              <w:sz w:val="24"/>
              <w14:ligatures w14:val="standardContextual"/>
            </w:rPr>
          </w:pPr>
          <w:hyperlink w:anchor="_Toc222041040" w:history="1">
            <w:r w:rsidRPr="00233F83">
              <w:rPr>
                <w:rStyle w:val="Hyperlink"/>
                <w:noProof/>
              </w:rPr>
              <w:t>References</w:t>
            </w:r>
            <w:r>
              <w:rPr>
                <w:noProof/>
                <w:webHidden/>
              </w:rPr>
              <w:tab/>
            </w:r>
            <w:r>
              <w:rPr>
                <w:noProof/>
                <w:webHidden/>
              </w:rPr>
              <w:fldChar w:fldCharType="begin"/>
            </w:r>
            <w:r>
              <w:rPr>
                <w:noProof/>
                <w:webHidden/>
              </w:rPr>
              <w:instrText xml:space="preserve"> PAGEREF _Toc222041040 \h </w:instrText>
            </w:r>
            <w:r>
              <w:rPr>
                <w:noProof/>
                <w:webHidden/>
              </w:rPr>
            </w:r>
            <w:r>
              <w:rPr>
                <w:noProof/>
                <w:webHidden/>
              </w:rPr>
              <w:fldChar w:fldCharType="separate"/>
            </w:r>
            <w:r>
              <w:rPr>
                <w:noProof/>
                <w:webHidden/>
              </w:rPr>
              <w:t>14</w:t>
            </w:r>
            <w:r>
              <w:rPr>
                <w:noProof/>
                <w:webHidden/>
              </w:rPr>
              <w:fldChar w:fldCharType="end"/>
            </w:r>
          </w:hyperlink>
        </w:p>
        <w:p w14:paraId="6CE5F979" w14:textId="5E31BFAC" w:rsidR="00FF708F" w:rsidRPr="00A80A97" w:rsidRDefault="0012157E" w:rsidP="00FF708F">
          <w:r w:rsidRPr="00A80A97">
            <w:rPr>
              <w:b/>
              <w:bCs/>
            </w:rPr>
            <w:fldChar w:fldCharType="end"/>
          </w:r>
        </w:p>
      </w:sdtContent>
    </w:sdt>
    <w:p w14:paraId="48F1DA0B" w14:textId="642B8D9E" w:rsidR="002905F7" w:rsidRPr="00A80A97" w:rsidRDefault="00450EB9" w:rsidP="00F106FB">
      <w:pPr>
        <w:pStyle w:val="Heading1"/>
        <w:pageBreakBefore/>
      </w:pPr>
      <w:bookmarkStart w:id="2" w:name="_Toc219884396"/>
      <w:bookmarkStart w:id="3" w:name="_Toc222041016"/>
      <w:r w:rsidRPr="00A80A97">
        <w:lastRenderedPageBreak/>
        <w:t>Introduction</w:t>
      </w:r>
      <w:bookmarkEnd w:id="2"/>
      <w:bookmarkEnd w:id="3"/>
    </w:p>
    <w:p w14:paraId="67769634" w14:textId="77777777" w:rsidR="0043674D" w:rsidRDefault="008B711D" w:rsidP="00A320F9">
      <w:r>
        <w:t>Q</w:t>
      </w:r>
      <w:r w:rsidR="00B81D05" w:rsidRPr="00A80A97">
        <w:t xml:space="preserve">uantifying lost productivity is one of the most challenging aspects of construction claims. </w:t>
      </w:r>
      <w:r w:rsidR="00653BBB" w:rsidRPr="00A80A97">
        <w:t xml:space="preserve">Unlike </w:t>
      </w:r>
      <w:r w:rsidR="0043674D">
        <w:t>other</w:t>
      </w:r>
      <w:r w:rsidR="00653BBB" w:rsidRPr="00A80A97">
        <w:t xml:space="preserve"> objective analyses like forensic schedule analyses to critical paths, loss of productivity analysis</w:t>
      </w:r>
      <w:r w:rsidR="00B111A2">
        <w:t xml:space="preserve"> can be</w:t>
      </w:r>
      <w:r w:rsidR="00653BBB" w:rsidRPr="00A80A97">
        <w:t xml:space="preserve"> more subjective</w:t>
      </w:r>
      <w:r w:rsidR="0043674D">
        <w:t xml:space="preserve"> and introduce greater uncertainty when quantifying damages</w:t>
      </w:r>
      <w:r w:rsidR="00653BBB" w:rsidRPr="00A80A97">
        <w:t xml:space="preserve">. </w:t>
      </w:r>
    </w:p>
    <w:p w14:paraId="3A3833CA" w14:textId="77777777" w:rsidR="0043674D" w:rsidRDefault="0043674D" w:rsidP="00A320F9"/>
    <w:p w14:paraId="08F9B80D" w14:textId="1F0FC22D" w:rsidR="00653BBB" w:rsidRPr="00A80A97" w:rsidRDefault="00B81D05" w:rsidP="00A320F9">
      <w:r w:rsidRPr="00A80A97">
        <w:t xml:space="preserve">The choice of methodology can </w:t>
      </w:r>
      <w:r w:rsidR="00180E73" w:rsidRPr="00A80A97">
        <w:t>notably</w:t>
      </w:r>
      <w:r w:rsidRPr="00A80A97">
        <w:t xml:space="preserve"> influence the outcome of a claim</w:t>
      </w:r>
      <w:r w:rsidR="00653BBB" w:rsidRPr="00A80A97">
        <w:t>, as different methodologies can calculate substantially different results</w:t>
      </w:r>
      <w:r w:rsidRPr="00A80A97">
        <w:t>.</w:t>
      </w:r>
      <w:r w:rsidR="00FF6C5E">
        <w:t xml:space="preserve"> In addition, the availab</w:t>
      </w:r>
      <w:r w:rsidR="005F25C3">
        <w:t>ility of specific</w:t>
      </w:r>
      <w:r w:rsidR="00FF6C5E">
        <w:t xml:space="preserve"> project data sets</w:t>
      </w:r>
      <w:r w:rsidR="0043674D">
        <w:t xml:space="preserve"> and the quality of those data sets can dictate what methodologies are applicable</w:t>
      </w:r>
      <w:r w:rsidR="00FF6C5E">
        <w:t xml:space="preserve"> and the results that those methodologies calculate.</w:t>
      </w:r>
    </w:p>
    <w:p w14:paraId="1015B0EF" w14:textId="77777777" w:rsidR="002905F7" w:rsidRPr="00A80A97" w:rsidRDefault="002905F7" w:rsidP="00A320F9"/>
    <w:p w14:paraId="6DCAF7BE" w14:textId="4DB1B5FB" w:rsidR="002905F7" w:rsidRPr="00A80A97" w:rsidRDefault="002905F7" w:rsidP="00A320F9">
      <w:r w:rsidRPr="00A80A97">
        <w:t xml:space="preserve">The “Use of Mechanical Contractors Association of America Method in Loss of Productivity Claims” </w:t>
      </w:r>
      <w:r w:rsidR="00577DDF" w:rsidRPr="00A80A97">
        <w:t>E</w:t>
      </w:r>
      <w:r w:rsidRPr="00A80A97">
        <w:t>ditorial defines productivity in relation to as construction as</w:t>
      </w:r>
      <w:r w:rsidR="00577DDF" w:rsidRPr="00A80A97">
        <w:t xml:space="preserve"> follows</w:t>
      </w:r>
      <w:r w:rsidRPr="00A80A97">
        <w:t>:</w:t>
      </w:r>
    </w:p>
    <w:p w14:paraId="01128747" w14:textId="77777777" w:rsidR="002905F7" w:rsidRPr="00A80A97" w:rsidRDefault="002905F7" w:rsidP="00A320F9"/>
    <w:p w14:paraId="269BEF49" w14:textId="18D154BE" w:rsidR="002905F7" w:rsidRPr="00A80A97" w:rsidRDefault="002905F7" w:rsidP="002905F7">
      <w:pPr>
        <w:ind w:left="720" w:right="720"/>
        <w:rPr>
          <w:i/>
          <w:iCs/>
        </w:rPr>
      </w:pPr>
      <w:r w:rsidRPr="00A80A97">
        <w:rPr>
          <w:i/>
          <w:iCs/>
        </w:rPr>
        <w:t>“Productivity is a measurement of work efficiency. It is usually defined as work output divided by work input”</w:t>
      </w:r>
      <w:r w:rsidRPr="00A80A97">
        <w:rPr>
          <w:rStyle w:val="FootnoteReference"/>
          <w:i/>
          <w:iCs/>
        </w:rPr>
        <w:footnoteReference w:id="1"/>
      </w:r>
    </w:p>
    <w:p w14:paraId="4FC5BBBD" w14:textId="77777777" w:rsidR="00653BBB" w:rsidRPr="00A80A97" w:rsidRDefault="00653BBB" w:rsidP="00A320F9"/>
    <w:p w14:paraId="7C0003EA" w14:textId="5785DD2A" w:rsidR="002905F7" w:rsidRPr="00A80A97" w:rsidRDefault="00C01F64" w:rsidP="00A320F9">
      <w:r w:rsidRPr="00A80A97">
        <w:t xml:space="preserve">CDR-4828 </w:t>
      </w:r>
      <w:r w:rsidR="0043674D">
        <w:t xml:space="preserve">examines the compounding effects of impact events, the associated loss of productivity, and the application of several industry-accepted loss-of-productivity methodologies used to quantify the damages to </w:t>
      </w:r>
      <w:r w:rsidR="006C0E55">
        <w:t>a</w:t>
      </w:r>
      <w:r w:rsidR="0043674D">
        <w:t xml:space="preserve"> </w:t>
      </w:r>
      <w:r w:rsidR="00A9393F">
        <w:t>wastewater construction</w:t>
      </w:r>
      <w:r w:rsidR="00A226EF">
        <w:t xml:space="preserve"> project</w:t>
      </w:r>
      <w:r w:rsidR="00880D59" w:rsidRPr="00A80A97">
        <w:t xml:space="preserve"> (“Project”)</w:t>
      </w:r>
      <w:r w:rsidRPr="00A80A97">
        <w:t>.</w:t>
      </w:r>
      <w:r w:rsidR="00CD6E33" w:rsidRPr="00A80A97">
        <w:t xml:space="preserve"> </w:t>
      </w:r>
      <w:r w:rsidR="00653BBB" w:rsidRPr="00A80A97">
        <w:t xml:space="preserve">CDR-4828 applies </w:t>
      </w:r>
      <w:r w:rsidR="006D04FB">
        <w:t>four (4)</w:t>
      </w:r>
      <w:r w:rsidR="00653BBB" w:rsidRPr="00A80A97">
        <w:t xml:space="preserve"> separate </w:t>
      </w:r>
      <w:r w:rsidR="0043674D">
        <w:t>industry-accepted analyses: the Measure Mile Method, Total Costs, the Mechanical Contractors Association of America</w:t>
      </w:r>
      <w:r w:rsidR="002905F7" w:rsidRPr="00A80A97">
        <w:t xml:space="preserve"> (MCAA</w:t>
      </w:r>
      <w:r w:rsidR="00E92937" w:rsidRPr="00A80A97">
        <w:t xml:space="preserve">) Model, </w:t>
      </w:r>
      <w:r w:rsidR="006D04FB">
        <w:t xml:space="preserve">and </w:t>
      </w:r>
      <w:r w:rsidR="00653BBB" w:rsidRPr="00A80A97">
        <w:t xml:space="preserve">the Ibbs </w:t>
      </w:r>
      <w:r w:rsidR="006D04FB">
        <w:t>Formula</w:t>
      </w:r>
      <w:r w:rsidR="00E92937" w:rsidRPr="00A80A97">
        <w:t>.</w:t>
      </w:r>
      <w:r w:rsidR="006C755A">
        <w:t xml:space="preserve"> Specifically, CDR-4828</w:t>
      </w:r>
      <w:r w:rsidR="00102BF7">
        <w:t xml:space="preserve"> compares the results</w:t>
      </w:r>
      <w:r w:rsidR="009F293F">
        <w:t xml:space="preserve"> of its </w:t>
      </w:r>
      <w:r w:rsidR="00966876">
        <w:t xml:space="preserve">Measured Mile </w:t>
      </w:r>
      <w:r w:rsidR="00D07ADD">
        <w:t xml:space="preserve">Analysis, to </w:t>
      </w:r>
      <w:r w:rsidR="001D7DAD">
        <w:t xml:space="preserve">each of the </w:t>
      </w:r>
      <w:r w:rsidR="00DD68E7">
        <w:t>latter three methodologies referenced above.</w:t>
      </w:r>
    </w:p>
    <w:p w14:paraId="364DD3C4" w14:textId="77777777" w:rsidR="002905F7" w:rsidRPr="00A80A97" w:rsidRDefault="002905F7" w:rsidP="00A320F9"/>
    <w:p w14:paraId="44DCE1AB" w14:textId="751F99C5" w:rsidR="00450EB9" w:rsidRDefault="00B111A2" w:rsidP="00A320F9">
      <w:r>
        <w:t xml:space="preserve">First, CDR-4828 discusses the Project issues and </w:t>
      </w:r>
      <w:r w:rsidR="00456D4E">
        <w:t xml:space="preserve">their compounding effects </w:t>
      </w:r>
      <w:r w:rsidR="0043674D">
        <w:t xml:space="preserve">on </w:t>
      </w:r>
      <w:r>
        <w:t>the Project.</w:t>
      </w:r>
      <w:r w:rsidR="00CD6E33" w:rsidRPr="00A80A97">
        <w:t xml:space="preserve"> </w:t>
      </w:r>
      <w:r>
        <w:t>Next, the</w:t>
      </w:r>
      <w:r w:rsidR="00CD6E33" w:rsidRPr="00A80A97">
        <w:t xml:space="preserve"> analysis will describe each </w:t>
      </w:r>
      <w:r w:rsidR="006D04FB">
        <w:t xml:space="preserve">loss-of-productivity methodology applied, its applicability and appropriate use, and, finally, the corresponding results </w:t>
      </w:r>
      <w:r>
        <w:t xml:space="preserve">when applied to the </w:t>
      </w:r>
      <w:r w:rsidR="0043674D">
        <w:t>Project under analysis</w:t>
      </w:r>
      <w:r w:rsidR="00CD6E33" w:rsidRPr="00A80A97">
        <w:t>.</w:t>
      </w:r>
    </w:p>
    <w:p w14:paraId="2FE4289E" w14:textId="77777777" w:rsidR="008B5B14" w:rsidRPr="00A80A97" w:rsidRDefault="008B5B14" w:rsidP="00A320F9"/>
    <w:p w14:paraId="68CA45F2" w14:textId="0070ADE2" w:rsidR="00450EB9" w:rsidRDefault="006B3D44" w:rsidP="00A320F9">
      <w:pPr>
        <w:pStyle w:val="Heading1"/>
      </w:pPr>
      <w:bookmarkStart w:id="4" w:name="_Toc219884397"/>
      <w:bookmarkStart w:id="5" w:name="_Toc222041017"/>
      <w:r w:rsidRPr="00A80A97">
        <w:t>Compounding Effects of Impact Events</w:t>
      </w:r>
      <w:bookmarkEnd w:id="4"/>
      <w:bookmarkEnd w:id="5"/>
    </w:p>
    <w:p w14:paraId="09F096F8" w14:textId="4996E318" w:rsidR="005725FF" w:rsidRPr="005725FF" w:rsidRDefault="005725FF" w:rsidP="005725FF">
      <w:pPr>
        <w:pStyle w:val="Heading3"/>
      </w:pPr>
      <w:bookmarkStart w:id="6" w:name="_Toc222041018"/>
      <w:r>
        <w:t>Major Critical Path Delays</w:t>
      </w:r>
      <w:bookmarkEnd w:id="6"/>
    </w:p>
    <w:p w14:paraId="4B0CBABA" w14:textId="6F00D314" w:rsidR="00FF6C5E" w:rsidRDefault="00FF6C5E" w:rsidP="00FF6C5E">
      <w:r>
        <w:t xml:space="preserve">The </w:t>
      </w:r>
      <w:r w:rsidR="00220A08">
        <w:t>wastewater</w:t>
      </w:r>
      <w:r w:rsidR="00B111A2">
        <w:t xml:space="preserve"> </w:t>
      </w:r>
      <w:r>
        <w:t xml:space="preserve">construction project analyzed in this study </w:t>
      </w:r>
      <w:r w:rsidR="00456D4E">
        <w:t>encountered numerous issues throughout its life</w:t>
      </w:r>
      <w:r>
        <w:t xml:space="preserve">. </w:t>
      </w:r>
      <w:r w:rsidR="00456D4E">
        <w:t xml:space="preserve">Although this study does not analyze critical path delays, numerous major delays </w:t>
      </w:r>
      <w:r>
        <w:t>contributed to the Project’s loss of productivity</w:t>
      </w:r>
      <w:r w:rsidR="00B111A2">
        <w:t>. Thus, merging these two issues into relation</w:t>
      </w:r>
      <w:r>
        <w:t>.</w:t>
      </w:r>
      <w:r w:rsidR="00A043E1">
        <w:t xml:space="preserve"> </w:t>
      </w:r>
      <w:r w:rsidR="00B111A2">
        <w:t>The m</w:t>
      </w:r>
      <w:r>
        <w:t xml:space="preserve">ajor critical </w:t>
      </w:r>
      <w:r w:rsidR="005725FF">
        <w:t xml:space="preserve">path delay </w:t>
      </w:r>
      <w:r>
        <w:t>events</w:t>
      </w:r>
      <w:r w:rsidR="00B111A2">
        <w:t xml:space="preserve"> of the </w:t>
      </w:r>
      <w:r w:rsidR="00201BD9">
        <w:t>Project</w:t>
      </w:r>
      <w:r>
        <w:t xml:space="preserve"> can be summarized as follows:</w:t>
      </w:r>
    </w:p>
    <w:p w14:paraId="415C7CFC" w14:textId="77777777" w:rsidR="00FF6C5E" w:rsidRDefault="00FF6C5E" w:rsidP="00FF6C5E"/>
    <w:p w14:paraId="1EC1F7F2" w14:textId="55ABB332" w:rsidR="00FF6C5E" w:rsidRDefault="00456D4E" w:rsidP="00FF6C5E">
      <w:pPr>
        <w:pStyle w:val="ListParagraph"/>
        <w:numPr>
          <w:ilvl w:val="0"/>
          <w:numId w:val="19"/>
        </w:numPr>
      </w:pPr>
      <w:r>
        <w:t>I</w:t>
      </w:r>
      <w:r w:rsidR="00FF6C5E">
        <w:t xml:space="preserve">ssues associated with </w:t>
      </w:r>
      <w:r>
        <w:t>owner-furnished</w:t>
      </w:r>
      <w:r w:rsidR="00FF6C5E">
        <w:t xml:space="preserve"> components:</w:t>
      </w:r>
    </w:p>
    <w:p w14:paraId="78E98B5C" w14:textId="77777777" w:rsidR="00B111A2" w:rsidRDefault="00B111A2" w:rsidP="00B111A2">
      <w:pPr>
        <w:pStyle w:val="ListParagraph"/>
        <w:ind w:left="1440"/>
      </w:pPr>
    </w:p>
    <w:p w14:paraId="5A9B12F7" w14:textId="3FA7B4F9" w:rsidR="001911A8" w:rsidRDefault="00FF6C5E" w:rsidP="001911A8">
      <w:pPr>
        <w:pStyle w:val="ListParagraph"/>
        <w:numPr>
          <w:ilvl w:val="1"/>
          <w:numId w:val="19"/>
        </w:numPr>
      </w:pPr>
      <w:r>
        <w:t xml:space="preserve">Upon receipt </w:t>
      </w:r>
      <w:r w:rsidR="00B111A2">
        <w:t xml:space="preserve">of </w:t>
      </w:r>
      <w:r>
        <w:t xml:space="preserve">specific </w:t>
      </w:r>
      <w:r w:rsidR="001911A8">
        <w:t>owner-furnished equipment (OFE)</w:t>
      </w:r>
      <w:r>
        <w:t xml:space="preserve">, the </w:t>
      </w:r>
      <w:r w:rsidR="00456D4E">
        <w:t>c</w:t>
      </w:r>
      <w:r>
        <w:t>ontractor planned to rig and erect the components into place, utilize a</w:t>
      </w:r>
      <w:r w:rsidR="00B111A2">
        <w:t>n efficient and planned</w:t>
      </w:r>
      <w:r>
        <w:t xml:space="preserve"> “just-in-time” delivery </w:t>
      </w:r>
      <w:r w:rsidR="00B111A2">
        <w:t xml:space="preserve">and installation </w:t>
      </w:r>
      <w:r w:rsidR="001911A8">
        <w:t xml:space="preserve">method. However, the </w:t>
      </w:r>
      <w:r w:rsidR="00456D4E">
        <w:t>size</w:t>
      </w:r>
      <w:r w:rsidR="00143031">
        <w:t xml:space="preserve"> of the OFE </w:t>
      </w:r>
      <w:r w:rsidR="00456D4E">
        <w:t xml:space="preserve">and </w:t>
      </w:r>
      <w:r w:rsidR="007B5BA2">
        <w:t>the location of lifting points of the components delivered</w:t>
      </w:r>
      <w:r w:rsidR="005C5254">
        <w:t xml:space="preserve"> </w:t>
      </w:r>
      <w:r w:rsidR="00143031">
        <w:t>to the site were not consistent with what was shown in the design documents</w:t>
      </w:r>
      <w:r w:rsidR="001911A8">
        <w:t xml:space="preserve">. </w:t>
      </w:r>
      <w:r w:rsidR="00B111A2">
        <w:t>For example</w:t>
      </w:r>
      <w:r w:rsidR="001911A8">
        <w:t xml:space="preserve">, the Contractor learned that the </w:t>
      </w:r>
      <w:r w:rsidR="00A9393F">
        <w:t>prefabricated</w:t>
      </w:r>
      <w:r w:rsidR="00B14D2E">
        <w:t xml:space="preserve"> pipe spools supplied by the owner</w:t>
      </w:r>
      <w:r w:rsidR="001911A8">
        <w:t xml:space="preserve"> </w:t>
      </w:r>
      <w:r w:rsidR="002619D8">
        <w:t>were</w:t>
      </w:r>
      <w:r w:rsidR="001911A8">
        <w:t xml:space="preserve"> </w:t>
      </w:r>
      <w:r w:rsidR="00220A08">
        <w:t xml:space="preserve">approximately </w:t>
      </w:r>
      <w:r w:rsidR="00737314">
        <w:t>20%</w:t>
      </w:r>
      <w:r w:rsidR="001911A8">
        <w:t xml:space="preserve"> </w:t>
      </w:r>
      <w:r w:rsidR="00737314">
        <w:t xml:space="preserve">heavier than outlined in </w:t>
      </w:r>
      <w:r w:rsidR="001911A8">
        <w:t xml:space="preserve">the bid documents, thus forcing the </w:t>
      </w:r>
      <w:r w:rsidR="00AC18CF">
        <w:t>C</w:t>
      </w:r>
      <w:r w:rsidR="001911A8">
        <w:t>ontractor to have to completely redesign and restructure its rigging and lift plans</w:t>
      </w:r>
      <w:r w:rsidR="00B14D2E">
        <w:t xml:space="preserve">. This </w:t>
      </w:r>
      <w:r w:rsidR="001911A8">
        <w:t xml:space="preserve">ultimately </w:t>
      </w:r>
      <w:r w:rsidR="00B14D2E">
        <w:t xml:space="preserve">resulted </w:t>
      </w:r>
      <w:r w:rsidR="005C5254">
        <w:t>in double-handling</w:t>
      </w:r>
      <w:r w:rsidR="005722BC">
        <w:t xml:space="preserve"> materials, re-designing crane pads and crane pick plans, and additional installation time.</w:t>
      </w:r>
    </w:p>
    <w:p w14:paraId="138AB9AE" w14:textId="77777777" w:rsidR="00B111A2" w:rsidRDefault="00B111A2" w:rsidP="00B111A2">
      <w:pPr>
        <w:pStyle w:val="ListParagraph"/>
        <w:ind w:left="1440"/>
      </w:pPr>
    </w:p>
    <w:p w14:paraId="5C09C7B7" w14:textId="6E9A874E" w:rsidR="001911A8" w:rsidRDefault="001911A8" w:rsidP="001911A8">
      <w:pPr>
        <w:pStyle w:val="ListParagraph"/>
        <w:numPr>
          <w:ilvl w:val="1"/>
          <w:numId w:val="19"/>
        </w:numPr>
      </w:pPr>
      <w:r>
        <w:t>In addition</w:t>
      </w:r>
      <w:r w:rsidR="00A9393F">
        <w:t xml:space="preserve"> to</w:t>
      </w:r>
      <w:r>
        <w:t xml:space="preserve"> </w:t>
      </w:r>
      <w:r w:rsidR="005C5254">
        <w:t>the above</w:t>
      </w:r>
      <w:r>
        <w:t xml:space="preserve">, </w:t>
      </w:r>
      <w:r w:rsidR="00737314">
        <w:t xml:space="preserve">the </w:t>
      </w:r>
      <w:r>
        <w:t xml:space="preserve">OFE equipment had additional fabrication issues that affected installation. For example, there were </w:t>
      </w:r>
      <w:r w:rsidR="005C5254">
        <w:t>fabrication issues</w:t>
      </w:r>
      <w:r>
        <w:t xml:space="preserve"> with fastening the equipment in place. </w:t>
      </w:r>
      <w:r w:rsidR="005C5254">
        <w:t xml:space="preserve">This </w:t>
      </w:r>
      <w:r w:rsidR="005C5254">
        <w:lastRenderedPageBreak/>
        <w:t xml:space="preserve">caused many pipe spools and </w:t>
      </w:r>
      <w:r w:rsidR="007B5BA2">
        <w:t xml:space="preserve">prefabricated pipe racks to be out of tolerance after erection and required extensive unplanned field modifications to satisfy the </w:t>
      </w:r>
      <w:r w:rsidR="001A0B33">
        <w:t>C</w:t>
      </w:r>
      <w:r w:rsidR="007B5BA2">
        <w:t>ontract's</w:t>
      </w:r>
      <w:r w:rsidR="005C5254">
        <w:t xml:space="preserve"> technical requirements.</w:t>
      </w:r>
    </w:p>
    <w:p w14:paraId="53DDF45C" w14:textId="3B19FDCC" w:rsidR="001911A8" w:rsidRDefault="001911A8" w:rsidP="001911A8">
      <w:pPr>
        <w:pStyle w:val="ListParagraph"/>
      </w:pPr>
    </w:p>
    <w:p w14:paraId="41A4F405" w14:textId="16E2EA5F" w:rsidR="001911A8" w:rsidRDefault="001911A8" w:rsidP="00B111A2">
      <w:pPr>
        <w:pStyle w:val="ListParagraph"/>
        <w:keepNext/>
        <w:numPr>
          <w:ilvl w:val="0"/>
          <w:numId w:val="19"/>
        </w:numPr>
      </w:pPr>
      <w:r>
        <w:t xml:space="preserve">Piping, Electrical, and </w:t>
      </w:r>
      <w:r w:rsidR="005C5254">
        <w:t>Large</w:t>
      </w:r>
      <w:r>
        <w:t xml:space="preserve"> Equipment Design Changes</w:t>
      </w:r>
    </w:p>
    <w:p w14:paraId="73651CDD" w14:textId="77777777" w:rsidR="00B111A2" w:rsidRDefault="00B111A2" w:rsidP="00B111A2">
      <w:pPr>
        <w:pStyle w:val="ListParagraph"/>
        <w:keepNext/>
        <w:ind w:left="1440"/>
      </w:pPr>
    </w:p>
    <w:p w14:paraId="3613BDDC" w14:textId="2863E842" w:rsidR="001911A8" w:rsidRDefault="001911A8" w:rsidP="001911A8">
      <w:pPr>
        <w:pStyle w:val="ListParagraph"/>
        <w:numPr>
          <w:ilvl w:val="1"/>
          <w:numId w:val="19"/>
        </w:numPr>
      </w:pPr>
      <w:r>
        <w:t xml:space="preserve">The </w:t>
      </w:r>
      <w:r w:rsidR="00737314">
        <w:t>O</w:t>
      </w:r>
      <w:r>
        <w:t>wner issue</w:t>
      </w:r>
      <w:r w:rsidR="00737314">
        <w:t>d</w:t>
      </w:r>
      <w:r>
        <w:t xml:space="preserve"> numerous design changes to the piping, electrical, and </w:t>
      </w:r>
      <w:r w:rsidR="005C5254">
        <w:t>large</w:t>
      </w:r>
      <w:r>
        <w:t xml:space="preserve"> equipment. These issues were caused by three separate items: missing information on the Contract drawings, design changes to include work that was not completed by the owner’s vendors, and design changes to correct design errors.</w:t>
      </w:r>
    </w:p>
    <w:p w14:paraId="7A3E4111" w14:textId="115282BD" w:rsidR="001911A8" w:rsidRDefault="001911A8" w:rsidP="001911A8">
      <w:pPr>
        <w:pStyle w:val="ListParagraph"/>
      </w:pPr>
    </w:p>
    <w:p w14:paraId="2CB03E12" w14:textId="71F0FB60" w:rsidR="001911A8" w:rsidRDefault="00BA30FE" w:rsidP="001911A8">
      <w:pPr>
        <w:pStyle w:val="ListParagraph"/>
        <w:numPr>
          <w:ilvl w:val="0"/>
          <w:numId w:val="19"/>
        </w:numPr>
      </w:pPr>
      <w:r>
        <w:t>Outage Scheduling</w:t>
      </w:r>
    </w:p>
    <w:p w14:paraId="58DD0F7E" w14:textId="77777777" w:rsidR="00B111A2" w:rsidRDefault="00B111A2" w:rsidP="00B111A2">
      <w:pPr>
        <w:pStyle w:val="ListParagraph"/>
        <w:ind w:left="1440"/>
      </w:pPr>
    </w:p>
    <w:p w14:paraId="25DA81D0" w14:textId="2DBE7832" w:rsidR="00BA30FE" w:rsidRDefault="00BA30FE" w:rsidP="00BA30FE">
      <w:pPr>
        <w:pStyle w:val="ListParagraph"/>
        <w:numPr>
          <w:ilvl w:val="1"/>
          <w:numId w:val="19"/>
        </w:numPr>
      </w:pPr>
      <w:r>
        <w:t>The Contractor absorb</w:t>
      </w:r>
      <w:r w:rsidR="00737314">
        <w:t>ed</w:t>
      </w:r>
      <w:r>
        <w:t xml:space="preserve"> impacts from the </w:t>
      </w:r>
      <w:r w:rsidR="008F7B6F">
        <w:t>O</w:t>
      </w:r>
      <w:r>
        <w:t xml:space="preserve">wner </w:t>
      </w:r>
      <w:r w:rsidR="00737314">
        <w:t>revising</w:t>
      </w:r>
      <w:r>
        <w:t xml:space="preserve"> </w:t>
      </w:r>
      <w:r w:rsidR="008F7B6F">
        <w:t xml:space="preserve">multiple planned plant outages. The Contractor’s prioritization of design submittals, procurement, and sequence of construction </w:t>
      </w:r>
      <w:r w:rsidR="00737314">
        <w:t xml:space="preserve">all were planned in correlation with </w:t>
      </w:r>
      <w:r w:rsidR="00220A08">
        <w:t xml:space="preserve">the treatment </w:t>
      </w:r>
      <w:r w:rsidR="00737314">
        <w:t xml:space="preserve">plant outage </w:t>
      </w:r>
      <w:r w:rsidR="00220A08">
        <w:t>s</w:t>
      </w:r>
      <w:r w:rsidR="00737314">
        <w:t>chedule, and the revision of that schedule affected all three components</w:t>
      </w:r>
      <w:r w:rsidR="008F7B6F">
        <w:t>.</w:t>
      </w:r>
    </w:p>
    <w:p w14:paraId="0C2EC390" w14:textId="0559AAF0" w:rsidR="008F7B6F" w:rsidRDefault="008F7B6F" w:rsidP="008F7B6F">
      <w:pPr>
        <w:pStyle w:val="ListParagraph"/>
      </w:pPr>
    </w:p>
    <w:p w14:paraId="2BB16602" w14:textId="198976BD" w:rsidR="008F7B6F" w:rsidRDefault="008F7B6F" w:rsidP="008F7B6F">
      <w:pPr>
        <w:pStyle w:val="ListParagraph"/>
        <w:numPr>
          <w:ilvl w:val="0"/>
          <w:numId w:val="19"/>
        </w:numPr>
      </w:pPr>
      <w:r>
        <w:t>Design Issues that Affected the Ability to Utilize Prefabricated Infrastructure Components</w:t>
      </w:r>
    </w:p>
    <w:p w14:paraId="55FA0FBE" w14:textId="77777777" w:rsidR="00B111A2" w:rsidRDefault="00B111A2" w:rsidP="00B111A2">
      <w:pPr>
        <w:pStyle w:val="ListParagraph"/>
        <w:ind w:left="1440"/>
      </w:pPr>
    </w:p>
    <w:p w14:paraId="23EB98C0" w14:textId="4E2EDC59" w:rsidR="008F7B6F" w:rsidRDefault="008F7B6F" w:rsidP="008F7B6F">
      <w:pPr>
        <w:pStyle w:val="ListParagraph"/>
        <w:numPr>
          <w:ilvl w:val="1"/>
          <w:numId w:val="19"/>
        </w:numPr>
      </w:pPr>
      <w:r>
        <w:t>The owner issue</w:t>
      </w:r>
      <w:r w:rsidR="00737314">
        <w:t>d</w:t>
      </w:r>
      <w:r>
        <w:t xml:space="preserve"> continuous design corrections to infrastructure items associated with steel columns that connected the main decking. </w:t>
      </w:r>
      <w:r w:rsidR="00737314">
        <w:t>These</w:t>
      </w:r>
      <w:r>
        <w:t xml:space="preserve"> issues delayed construction and the ability to prefabricate much of the </w:t>
      </w:r>
      <w:r w:rsidR="00737314">
        <w:t xml:space="preserve">steel column </w:t>
      </w:r>
      <w:r>
        <w:t xml:space="preserve">infrastructure prior to </w:t>
      </w:r>
      <w:r w:rsidR="00201BD9">
        <w:t>construction and</w:t>
      </w:r>
      <w:r>
        <w:t xml:space="preserve"> forced the Contractor to stick-build the columns.</w:t>
      </w:r>
    </w:p>
    <w:p w14:paraId="3B59FD38" w14:textId="4F604A58" w:rsidR="008F7B6F" w:rsidRDefault="008F7B6F" w:rsidP="008F7B6F">
      <w:pPr>
        <w:pStyle w:val="ListParagraph"/>
      </w:pPr>
    </w:p>
    <w:p w14:paraId="75AF197D" w14:textId="4C16E825" w:rsidR="00A043E1" w:rsidRDefault="005725FF" w:rsidP="005725FF">
      <w:pPr>
        <w:pStyle w:val="Heading3"/>
      </w:pPr>
      <w:bookmarkStart w:id="7" w:name="_Toc222041019"/>
      <w:r>
        <w:t>Resulting Loss of Productivity</w:t>
      </w:r>
      <w:bookmarkEnd w:id="7"/>
      <w:r>
        <w:t xml:space="preserve"> </w:t>
      </w:r>
    </w:p>
    <w:p w14:paraId="02C3B944" w14:textId="5EF8AC7F" w:rsidR="00A043E1" w:rsidRDefault="005C5254" w:rsidP="00A043E1">
      <w:r>
        <w:t>Due to numerous compounding critical path delays, the Contractor experienced a multitude of global and compounding effects that contributed to a</w:t>
      </w:r>
      <w:r w:rsidR="005725FF">
        <w:t xml:space="preserve"> loss of productivity</w:t>
      </w:r>
      <w:r w:rsidR="00A043E1">
        <w:t>. Those effects can be summarized as follows:</w:t>
      </w:r>
    </w:p>
    <w:p w14:paraId="6C6FCB5B" w14:textId="77777777" w:rsidR="005C5254" w:rsidRDefault="005C5254" w:rsidP="00A043E1"/>
    <w:p w14:paraId="13978BE9" w14:textId="625B9EBC" w:rsidR="00A043E1" w:rsidRPr="008B5B14" w:rsidRDefault="0000661A" w:rsidP="0000661A">
      <w:pPr>
        <w:pStyle w:val="ListParagraph"/>
        <w:numPr>
          <w:ilvl w:val="0"/>
          <w:numId w:val="20"/>
        </w:numPr>
      </w:pPr>
      <w:r w:rsidRPr="008B5B14">
        <w:t>Indirect Support was affected by the continuous delays</w:t>
      </w:r>
      <w:r w:rsidR="008B5B14">
        <w:t>,</w:t>
      </w:r>
      <w:r w:rsidRPr="008B5B14">
        <w:t xml:space="preserve"> including but not limited </w:t>
      </w:r>
      <w:r w:rsidR="005725FF" w:rsidRPr="008B5B14">
        <w:t>to</w:t>
      </w:r>
      <w:r w:rsidRPr="008B5B14">
        <w:t xml:space="preserve"> adhering to change management documents, revamping of schedules and plans, rebudgeting, re-planning resources,</w:t>
      </w:r>
      <w:r w:rsidR="005725FF" w:rsidRPr="008B5B14">
        <w:t xml:space="preserve"> </w:t>
      </w:r>
      <w:r w:rsidRPr="008B5B14">
        <w:t>the revision of procurement efforts</w:t>
      </w:r>
      <w:r w:rsidR="005725FF" w:rsidRPr="008B5B14">
        <w:t>, and the overall fatigue (inefficiency) of management personnel due to increased workload</w:t>
      </w:r>
      <w:r w:rsidRPr="008B5B14">
        <w:t>.</w:t>
      </w:r>
    </w:p>
    <w:p w14:paraId="09E4A185" w14:textId="5385F914" w:rsidR="0000661A" w:rsidRPr="008B5B14" w:rsidRDefault="0000661A" w:rsidP="0000661A">
      <w:pPr>
        <w:pStyle w:val="ListParagraph"/>
      </w:pPr>
    </w:p>
    <w:p w14:paraId="3DF17EA4" w14:textId="59A89EAC" w:rsidR="0000661A" w:rsidRPr="008B5B14" w:rsidRDefault="0000661A" w:rsidP="0000661A">
      <w:pPr>
        <w:pStyle w:val="ListParagraph"/>
        <w:numPr>
          <w:ilvl w:val="0"/>
          <w:numId w:val="20"/>
        </w:numPr>
      </w:pPr>
      <w:r w:rsidRPr="008B5B14">
        <w:t xml:space="preserve">Direct Support was significantly impacted. Field crews were required to </w:t>
      </w:r>
      <w:r w:rsidR="008B5B14">
        <w:t xml:space="preserve">respond to constantly changing plans, perform out-of-sequence work, remobilize between the most heavily impacted work fronts, and work significant overtime to recover from </w:t>
      </w:r>
      <w:r w:rsidRPr="008B5B14">
        <w:t xml:space="preserve">resulting delays. These impacts disrupted the development of work “rhythms” and extended the learning curves for performing new tasks or working in new areas. </w:t>
      </w:r>
      <w:r w:rsidR="008B5B14">
        <w:t>Furthermore, extended overtime leads to fatigue and reduced</w:t>
      </w:r>
      <w:r w:rsidRPr="008B5B14">
        <w:t xml:space="preserve"> productivity. Many of these impacts occurred simultaneously and impacted (directly and indirectly) the same construction operations. This is an </w:t>
      </w:r>
      <w:r w:rsidR="008B5B14">
        <w:t>additional layer of complexity, amplifying the effects of any particular issue</w:t>
      </w:r>
      <w:r w:rsidRPr="008B5B14">
        <w:t>.</w:t>
      </w:r>
    </w:p>
    <w:p w14:paraId="55ED5225" w14:textId="77777777" w:rsidR="0000661A" w:rsidRPr="008B5B14" w:rsidRDefault="0000661A" w:rsidP="0000661A">
      <w:pPr>
        <w:pStyle w:val="ListParagraph"/>
      </w:pPr>
    </w:p>
    <w:p w14:paraId="19D6C67C" w14:textId="766570FB" w:rsidR="00E77B03" w:rsidRPr="008B5B14" w:rsidRDefault="0000661A" w:rsidP="0000661A">
      <w:pPr>
        <w:pStyle w:val="ListParagraph"/>
        <w:numPr>
          <w:ilvl w:val="0"/>
          <w:numId w:val="20"/>
        </w:numPr>
      </w:pPr>
      <w:r w:rsidRPr="008B5B14">
        <w:t xml:space="preserve">Trade and Crew Stacking is the result of multiple changes, delays, and disruptions. Trade and </w:t>
      </w:r>
      <w:r w:rsidR="005725FF" w:rsidRPr="008B5B14">
        <w:t>c</w:t>
      </w:r>
      <w:r w:rsidRPr="008B5B14">
        <w:t xml:space="preserve">rew stacking </w:t>
      </w:r>
      <w:r w:rsidR="008B5B14">
        <w:t>result in unsustainable concurrency, over-density</w:t>
      </w:r>
      <w:r w:rsidRPr="008B5B14">
        <w:t xml:space="preserve"> of work areas, safety hazards, </w:t>
      </w:r>
      <w:r w:rsidR="00E77B03" w:rsidRPr="008B5B14">
        <w:t>increased management costs, difficulty in construction oversight of crews, and overall slowed production rates.</w:t>
      </w:r>
    </w:p>
    <w:p w14:paraId="5F894A27" w14:textId="77777777" w:rsidR="00E77B03" w:rsidRPr="008B5B14" w:rsidRDefault="00E77B03" w:rsidP="00E77B03">
      <w:pPr>
        <w:pStyle w:val="ListParagraph"/>
      </w:pPr>
    </w:p>
    <w:p w14:paraId="7A096825" w14:textId="5835A494" w:rsidR="0000661A" w:rsidRPr="008B5B14" w:rsidRDefault="00E77B03" w:rsidP="0000661A">
      <w:pPr>
        <w:pStyle w:val="ListParagraph"/>
        <w:numPr>
          <w:ilvl w:val="0"/>
          <w:numId w:val="20"/>
        </w:numPr>
      </w:pPr>
      <w:r w:rsidRPr="008B5B14">
        <w:t xml:space="preserve">Cumulative Changes is a widely recognized cause of inefficiency. This Project experienced 30%-40% of changes in relation </w:t>
      </w:r>
      <w:r w:rsidR="005725FF" w:rsidRPr="008B5B14">
        <w:t>to</w:t>
      </w:r>
      <w:r w:rsidRPr="008B5B14">
        <w:t xml:space="preserve"> the baseline </w:t>
      </w:r>
      <w:r w:rsidR="005725FF" w:rsidRPr="008B5B14">
        <w:t>C</w:t>
      </w:r>
      <w:r w:rsidRPr="008B5B14">
        <w:t>ontract value.</w:t>
      </w:r>
      <w:r w:rsidR="005725FF" w:rsidRPr="008B5B14">
        <w:t xml:space="preserve"> Cumulative changes </w:t>
      </w:r>
      <w:r w:rsidR="008B5B14">
        <w:t>affect indirect support, crew redirection, work start-ups and stoppages, rework, and construction sequencing, and are</w:t>
      </w:r>
      <w:r w:rsidR="00B111A2" w:rsidRPr="008B5B14">
        <w:t xml:space="preserve"> detrimental to the Project’s overall workflow.</w:t>
      </w:r>
    </w:p>
    <w:p w14:paraId="49440844" w14:textId="77777777" w:rsidR="00E77B03" w:rsidRPr="008B5B14" w:rsidRDefault="00E77B03" w:rsidP="00E77B03">
      <w:pPr>
        <w:pStyle w:val="ListParagraph"/>
      </w:pPr>
    </w:p>
    <w:p w14:paraId="326AE0EF" w14:textId="65C398F9" w:rsidR="00E77B03" w:rsidRPr="008B5B14" w:rsidRDefault="00E77B03" w:rsidP="0000661A">
      <w:pPr>
        <w:pStyle w:val="ListParagraph"/>
        <w:numPr>
          <w:ilvl w:val="0"/>
          <w:numId w:val="20"/>
        </w:numPr>
      </w:pPr>
      <w:r w:rsidRPr="008B5B14">
        <w:lastRenderedPageBreak/>
        <w:t xml:space="preserve">Design Errors were a large contributor to the Project delays. Approximately 10% of </w:t>
      </w:r>
      <w:r w:rsidR="008B5B14">
        <w:t xml:space="preserve">the </w:t>
      </w:r>
      <w:r w:rsidR="00516815">
        <w:t>P</w:t>
      </w:r>
      <w:r w:rsidR="008B5B14">
        <w:t>roject change value was a</w:t>
      </w:r>
      <w:r w:rsidRPr="008B5B14">
        <w:t xml:space="preserve"> result of design errors.</w:t>
      </w:r>
    </w:p>
    <w:p w14:paraId="3E398BB3" w14:textId="77777777" w:rsidR="00E77B03" w:rsidRPr="00E77B03" w:rsidRDefault="00E77B03" w:rsidP="00E77B03">
      <w:pPr>
        <w:pStyle w:val="ListParagraph"/>
        <w:rPr>
          <w:b/>
          <w:bCs/>
        </w:rPr>
      </w:pPr>
    </w:p>
    <w:p w14:paraId="5587015E" w14:textId="4FBF8E00" w:rsidR="008B5B14" w:rsidRPr="006A5DFA" w:rsidRDefault="005C5254" w:rsidP="006A5DFA">
      <w:pPr>
        <w:pStyle w:val="ListParagraph"/>
        <w:numPr>
          <w:ilvl w:val="0"/>
          <w:numId w:val="20"/>
        </w:numPr>
        <w:rPr>
          <w:b/>
          <w:bCs/>
        </w:rPr>
      </w:pPr>
      <w:r w:rsidRPr="008B5B14">
        <w:t xml:space="preserve">An increase in Night Shift Work was utilized to recover the </w:t>
      </w:r>
      <w:r w:rsidR="00B111A2" w:rsidRPr="008B5B14">
        <w:t>schedule.</w:t>
      </w:r>
      <w:r w:rsidR="00B111A2">
        <w:t xml:space="preserve"> However, this </w:t>
      </w:r>
      <w:r w:rsidR="00E77B03">
        <w:t>significantly slowed progress and caused inefficiencies. The Contractor had to retain more labor, more management, operate at suboptimal hours, all of which slowed the production of the average labor hour.</w:t>
      </w:r>
      <w:r w:rsidR="00B111A2">
        <w:t xml:space="preserve"> The </w:t>
      </w:r>
      <w:r>
        <w:t>greater the labor required, the lower the quality of the labor pool</w:t>
      </w:r>
      <w:r w:rsidR="00B111A2">
        <w:t xml:space="preserve">, </w:t>
      </w:r>
      <w:r w:rsidR="00737314">
        <w:t>as</w:t>
      </w:r>
      <w:r w:rsidR="00B111A2">
        <w:t xml:space="preserve"> the Contractor must reach deeper into the market.</w:t>
      </w:r>
    </w:p>
    <w:p w14:paraId="44F12146" w14:textId="77777777" w:rsidR="008B5B14" w:rsidRPr="008B5B14" w:rsidRDefault="008B5B14" w:rsidP="008B5B14">
      <w:pPr>
        <w:rPr>
          <w:b/>
          <w:bCs/>
        </w:rPr>
      </w:pPr>
    </w:p>
    <w:p w14:paraId="1CA71B4E" w14:textId="77777777" w:rsidR="00163D9B" w:rsidRDefault="00433DB1" w:rsidP="00433DB1">
      <w:pPr>
        <w:pStyle w:val="Heading1"/>
      </w:pPr>
      <w:bookmarkStart w:id="8" w:name="_Toc222041020"/>
      <w:r>
        <w:t>Exemplary Project Records</w:t>
      </w:r>
      <w:bookmarkEnd w:id="8"/>
    </w:p>
    <w:p w14:paraId="3B670DE6" w14:textId="2875D7D3" w:rsidR="005722C5" w:rsidRDefault="00163D9B" w:rsidP="007B5BA2">
      <w:r w:rsidRPr="007B5BA2">
        <w:t xml:space="preserve">The Contractor’s </w:t>
      </w:r>
      <w:r w:rsidR="008B5B14" w:rsidRPr="007B5BA2">
        <w:t xml:space="preserve">record-keeping was generally consistent and often exceeded the </w:t>
      </w:r>
      <w:r w:rsidR="005722C5" w:rsidRPr="007B5BA2">
        <w:t>tracking practices expected for a project of this size and type.</w:t>
      </w:r>
    </w:p>
    <w:p w14:paraId="13F3EFAD" w14:textId="77777777" w:rsidR="007B5BA2" w:rsidRPr="007B5BA2" w:rsidRDefault="007B5BA2" w:rsidP="007B5BA2"/>
    <w:p w14:paraId="6DE0611A" w14:textId="24FF6BE0" w:rsidR="003C5295" w:rsidRDefault="005722C5" w:rsidP="007B5BA2">
      <w:r w:rsidRPr="007B5BA2">
        <w:t>The Contractor</w:t>
      </w:r>
      <w:r w:rsidR="006D4F9A" w:rsidRPr="007B5BA2">
        <w:t xml:space="preserve">’s cost, craft-hour, and quantity tracking </w:t>
      </w:r>
      <w:r w:rsidR="00E95C6A" w:rsidRPr="007B5BA2">
        <w:t>were</w:t>
      </w:r>
      <w:r w:rsidR="006D4F9A" w:rsidRPr="007B5BA2">
        <w:t xml:space="preserve"> detailed</w:t>
      </w:r>
      <w:r w:rsidR="00867744" w:rsidRPr="007B5BA2">
        <w:t xml:space="preserve"> and utilized a cost coding hierarchy. Direct costs to perform select scopes of work (i.e.</w:t>
      </w:r>
      <w:r w:rsidR="008B5B14" w:rsidRPr="007B5BA2">
        <w:t>, electrical, mechanical piping, structural steel erection) were</w:t>
      </w:r>
      <w:r w:rsidR="00867744" w:rsidRPr="007B5BA2">
        <w:t xml:space="preserve"> further decomposed by </w:t>
      </w:r>
      <w:r w:rsidR="007B5BA2">
        <w:t>installed material, material size, and</w:t>
      </w:r>
      <w:r w:rsidR="00867744" w:rsidRPr="007B5BA2">
        <w:t xml:space="preserve"> location. </w:t>
      </w:r>
      <w:r w:rsidR="00EA70BB" w:rsidRPr="007B5BA2">
        <w:t>Project-specific</w:t>
      </w:r>
      <w:r w:rsidR="00A42957" w:rsidRPr="007B5BA2">
        <w:t xml:space="preserve"> overhead and </w:t>
      </w:r>
      <w:r w:rsidR="00D57BE3" w:rsidRPr="007B5BA2">
        <w:t>indirect</w:t>
      </w:r>
      <w:r w:rsidR="00A42957" w:rsidRPr="007B5BA2">
        <w:t xml:space="preserve"> </w:t>
      </w:r>
      <w:r w:rsidR="00D57BE3" w:rsidRPr="007B5BA2">
        <w:t>expenses were segregated from direct costs</w:t>
      </w:r>
      <w:r w:rsidR="003C5295" w:rsidRPr="007B5BA2">
        <w:t xml:space="preserve">. The Contractor also ensured </w:t>
      </w:r>
      <w:r w:rsidR="008B5B14" w:rsidRPr="007B5BA2">
        <w:t xml:space="preserve">that potential and executed </w:t>
      </w:r>
      <w:r w:rsidR="007B5BA2">
        <w:t xml:space="preserve">change-order costs were not included in </w:t>
      </w:r>
      <w:r w:rsidR="008B5B14" w:rsidRPr="007B5BA2">
        <w:t>direct or</w:t>
      </w:r>
      <w:r w:rsidR="00553B8E" w:rsidRPr="007B5BA2">
        <w:t xml:space="preserve"> indirect costs.</w:t>
      </w:r>
    </w:p>
    <w:p w14:paraId="472B8534" w14:textId="77777777" w:rsidR="007B5BA2" w:rsidRPr="007B5BA2" w:rsidRDefault="007B5BA2" w:rsidP="007B5BA2"/>
    <w:p w14:paraId="4D8C28F5" w14:textId="3888EE50" w:rsidR="00553B8E" w:rsidRPr="007B5BA2" w:rsidRDefault="00890956" w:rsidP="007B5BA2">
      <w:r w:rsidRPr="007B5BA2">
        <w:t>The Contractor tracked actual spent craft-hours each week</w:t>
      </w:r>
      <w:r w:rsidR="008B5B14" w:rsidRPr="007B5BA2">
        <w:t>, along with confirmed</w:t>
      </w:r>
      <w:r w:rsidRPr="007B5BA2">
        <w:t xml:space="preserve"> quantities completed during the week. The </w:t>
      </w:r>
      <w:r w:rsidR="00381ECC">
        <w:t>P</w:t>
      </w:r>
      <w:r w:rsidRPr="007B5BA2">
        <w:t xml:space="preserve">roject </w:t>
      </w:r>
      <w:r w:rsidR="00381ECC">
        <w:t>O</w:t>
      </w:r>
      <w:r w:rsidRPr="007B5BA2">
        <w:t xml:space="preserve">wner </w:t>
      </w:r>
      <w:r w:rsidR="008B5B14" w:rsidRPr="007B5BA2">
        <w:t>conducted a weekly audit of completed quantities and reconciled them with the contractor</w:t>
      </w:r>
      <w:r w:rsidR="00EA70BB" w:rsidRPr="007B5BA2">
        <w:t xml:space="preserve"> at the end of the </w:t>
      </w:r>
      <w:r w:rsidRPr="007B5BA2">
        <w:t>week within the design model.</w:t>
      </w:r>
    </w:p>
    <w:p w14:paraId="61CE2CBA" w14:textId="77777777" w:rsidR="008B5B14" w:rsidRPr="00553B8E" w:rsidRDefault="008B5B14" w:rsidP="00553B8E"/>
    <w:p w14:paraId="713885CA" w14:textId="6C58E937" w:rsidR="006F77DE" w:rsidRPr="00A80A97" w:rsidRDefault="00B80870" w:rsidP="00B80870">
      <w:pPr>
        <w:pStyle w:val="Heading1"/>
      </w:pPr>
      <w:bookmarkStart w:id="9" w:name="_Toc219884398"/>
      <w:bookmarkStart w:id="10" w:name="_Toc222041021"/>
      <w:r w:rsidRPr="00A80A97">
        <w:t xml:space="preserve">Inefficiency </w:t>
      </w:r>
      <w:r w:rsidR="006F77DE" w:rsidRPr="00A80A97">
        <w:t>Methodolo</w:t>
      </w:r>
      <w:r w:rsidRPr="00A80A97">
        <w:t>gies Exercised</w:t>
      </w:r>
      <w:bookmarkEnd w:id="9"/>
      <w:bookmarkEnd w:id="10"/>
    </w:p>
    <w:p w14:paraId="5E141458" w14:textId="59F54598" w:rsidR="00CD6E33" w:rsidRPr="00A80A97" w:rsidRDefault="00CD6E33" w:rsidP="00742D6B">
      <w:pPr>
        <w:pStyle w:val="Heading2"/>
      </w:pPr>
      <w:bookmarkStart w:id="11" w:name="_Toc222041022"/>
      <w:r w:rsidRPr="00A80A97">
        <w:t>Measure</w:t>
      </w:r>
      <w:r w:rsidR="0028530A">
        <w:t>d</w:t>
      </w:r>
      <w:r w:rsidRPr="00A80A97">
        <w:t xml:space="preserve"> Mile</w:t>
      </w:r>
      <w:bookmarkEnd w:id="11"/>
    </w:p>
    <w:p w14:paraId="2CC4306B" w14:textId="7DAB226E" w:rsidR="00880D59" w:rsidRPr="00A80A97" w:rsidRDefault="00880D59" w:rsidP="00742D6B">
      <w:pPr>
        <w:pStyle w:val="Heading3"/>
      </w:pPr>
      <w:bookmarkStart w:id="12" w:name="_Toc222041023"/>
      <w:r w:rsidRPr="00A80A97">
        <w:t>Measure</w:t>
      </w:r>
      <w:r w:rsidR="008B711D">
        <w:t>d</w:t>
      </w:r>
      <w:r w:rsidRPr="00A80A97">
        <w:t xml:space="preserve"> Mile Methodology Description</w:t>
      </w:r>
      <w:bookmarkEnd w:id="12"/>
    </w:p>
    <w:p w14:paraId="2E954E68" w14:textId="667247D9" w:rsidR="00492A45" w:rsidRPr="00A80A97" w:rsidRDefault="00D73697" w:rsidP="00492A45">
      <w:r w:rsidRPr="00A80A97">
        <w:t xml:space="preserve">The Measure Mile </w:t>
      </w:r>
      <w:r w:rsidR="00C341A0">
        <w:t>m</w:t>
      </w:r>
      <w:r w:rsidRPr="00A80A97">
        <w:t xml:space="preserve">ethodology for </w:t>
      </w:r>
      <w:r w:rsidR="00C341A0">
        <w:t>loss-of-productivity analysis is often regarded as the gold standard for</w:t>
      </w:r>
      <w:r w:rsidRPr="00A80A97">
        <w:t xml:space="preserve"> inefficiency analyses.</w:t>
      </w:r>
      <w:r w:rsidR="00A61DB9" w:rsidRPr="00A80A97">
        <w:t xml:space="preserve"> Gatherinsights.com </w:t>
      </w:r>
      <w:r w:rsidR="00492A45" w:rsidRPr="00A80A97">
        <w:t>has an article named “Construction Measured Mile Analysis Guide</w:t>
      </w:r>
    </w:p>
    <w:p w14:paraId="74C7B041" w14:textId="11FE9F68" w:rsidR="00D73697" w:rsidRPr="00A80A97" w:rsidRDefault="00492A45" w:rsidP="00D73697">
      <w:r w:rsidRPr="00A80A97">
        <w:t xml:space="preserve">“, which </w:t>
      </w:r>
      <w:r w:rsidR="00A61DB9" w:rsidRPr="00A80A97">
        <w:t>defines the Measured Mile Analysis as follows:</w:t>
      </w:r>
    </w:p>
    <w:p w14:paraId="7B817C64" w14:textId="77777777" w:rsidR="00A61DB9" w:rsidRPr="00A80A97" w:rsidRDefault="00A61DB9" w:rsidP="00D73697"/>
    <w:p w14:paraId="3245F6F8" w14:textId="7F878B6D" w:rsidR="00A61DB9" w:rsidRPr="00A80A97" w:rsidRDefault="00A61DB9" w:rsidP="00A61DB9">
      <w:pPr>
        <w:ind w:left="720" w:right="720"/>
        <w:rPr>
          <w:i/>
          <w:iCs/>
        </w:rPr>
      </w:pPr>
      <w:r w:rsidRPr="00A80A97">
        <w:rPr>
          <w:i/>
          <w:iCs/>
        </w:rPr>
        <w:t>”A method of productivity analysis that compares a section of work completed under normal, unimpacted conditions (the "measured mile") with a section of work affected by delays, disruptions, or inefficiencies. This allows for an objective, data-driven comparison to quantify lost productivity without the usual opinion and assumptions.”</w:t>
      </w:r>
    </w:p>
    <w:p w14:paraId="7FF4E61E" w14:textId="77777777" w:rsidR="00A61DB9" w:rsidRPr="00A80A97" w:rsidRDefault="00A61DB9" w:rsidP="00A61DB9">
      <w:pPr>
        <w:ind w:left="720" w:right="720"/>
        <w:rPr>
          <w:i/>
          <w:iCs/>
        </w:rPr>
      </w:pPr>
    </w:p>
    <w:p w14:paraId="6E2A5CE6" w14:textId="283DE7ED" w:rsidR="00492A45" w:rsidRPr="00A80A97" w:rsidRDefault="00A61DB9" w:rsidP="00A61DB9">
      <w:r w:rsidRPr="00A80A97">
        <w:t xml:space="preserve">In other words, the Measured Mile </w:t>
      </w:r>
      <w:r w:rsidR="00C341A0">
        <w:t>m</w:t>
      </w:r>
      <w:r w:rsidR="00C341A0" w:rsidRPr="00A80A97">
        <w:t xml:space="preserve">ethodology </w:t>
      </w:r>
      <w:r w:rsidRPr="00A80A97">
        <w:t xml:space="preserve">compares </w:t>
      </w:r>
      <w:r w:rsidR="00201BD9" w:rsidRPr="00A80A97">
        <w:t>production</w:t>
      </w:r>
      <w:r w:rsidRPr="00A80A97">
        <w:t xml:space="preserve"> from an unimpacted period of work for a certain scope of </w:t>
      </w:r>
      <w:r w:rsidR="00984854" w:rsidRPr="00A80A97">
        <w:t>work and</w:t>
      </w:r>
      <w:r w:rsidRPr="00A80A97">
        <w:t xml:space="preserve"> compares it to</w:t>
      </w:r>
      <w:r w:rsidR="00984854" w:rsidRPr="00A80A97">
        <w:t xml:space="preserve"> the production of</w:t>
      </w:r>
      <w:r w:rsidRPr="00A80A97">
        <w:t xml:space="preserve"> an impacted period of work for the same scope of </w:t>
      </w:r>
      <w:r w:rsidR="00201BD9" w:rsidRPr="00A80A97">
        <w:t>work</w:t>
      </w:r>
      <w:r w:rsidR="00201BD9">
        <w:t xml:space="preserve"> and</w:t>
      </w:r>
      <w:r w:rsidRPr="00A80A97">
        <w:t xml:space="preserve"> then quantifies the delta between the two. The </w:t>
      </w:r>
      <w:r w:rsidR="00984854" w:rsidRPr="00A80A97">
        <w:t xml:space="preserve">difference </w:t>
      </w:r>
      <w:r w:rsidR="00E0252B">
        <w:t xml:space="preserve">in production </w:t>
      </w:r>
      <w:r w:rsidR="00984854" w:rsidRPr="00A80A97">
        <w:t>between the two periods (impacted &amp; impacted) equates to the loss of productivity.</w:t>
      </w:r>
    </w:p>
    <w:p w14:paraId="6FFDE242" w14:textId="77777777" w:rsidR="00492A45" w:rsidRPr="00A80A97" w:rsidRDefault="00492A45" w:rsidP="00A61DB9"/>
    <w:p w14:paraId="4533EEEE" w14:textId="08D63C98" w:rsidR="00A61DB9" w:rsidRPr="00A80A97" w:rsidRDefault="00712CE3" w:rsidP="00A61DB9">
      <w:r>
        <w:t xml:space="preserve">Equating </w:t>
      </w:r>
      <w:r w:rsidR="00492A45" w:rsidRPr="00A80A97">
        <w:t xml:space="preserve">production is typically measuring </w:t>
      </w:r>
      <w:r w:rsidR="00C706D3" w:rsidRPr="00A80A97">
        <w:t xml:space="preserve">the </w:t>
      </w:r>
      <w:r w:rsidR="009262BD" w:rsidRPr="00A80A97">
        <w:t>number</w:t>
      </w:r>
      <w:r w:rsidR="00D37B74" w:rsidRPr="00A80A97">
        <w:t xml:space="preserve"> of</w:t>
      </w:r>
      <w:r w:rsidR="00492A45" w:rsidRPr="00A80A97">
        <w:t xml:space="preserve"> </w:t>
      </w:r>
      <w:r w:rsidR="00EF4094" w:rsidRPr="00A80A97">
        <w:t xml:space="preserve">units earned per </w:t>
      </w:r>
      <w:r w:rsidR="00A408FA" w:rsidRPr="00A80A97">
        <w:t>man-hour expended</w:t>
      </w:r>
      <w:r w:rsidR="000D6C36" w:rsidRPr="00A80A97">
        <w:t>, or the man-hours expended to produce a certain unit of measure</w:t>
      </w:r>
      <w:r w:rsidR="00492A45" w:rsidRPr="00A80A97">
        <w:t xml:space="preserve">. For example, the number of man-hours required to place linear feet of pipe. However, when man-hours </w:t>
      </w:r>
      <w:r w:rsidR="002E504E" w:rsidRPr="00A80A97">
        <w:t xml:space="preserve">expended </w:t>
      </w:r>
      <w:r w:rsidR="00492A45" w:rsidRPr="00A80A97">
        <w:t>can</w:t>
      </w:r>
      <w:r w:rsidR="002E504E" w:rsidRPr="00A80A97">
        <w:t>not</w:t>
      </w:r>
      <w:r w:rsidR="00492A45" w:rsidRPr="00A80A97">
        <w:t xml:space="preserve"> easily be tied to </w:t>
      </w:r>
      <w:r w:rsidR="002E504E" w:rsidRPr="00A80A97">
        <w:t xml:space="preserve">the </w:t>
      </w:r>
      <w:r w:rsidR="00492A45" w:rsidRPr="00A80A97">
        <w:t xml:space="preserve">production </w:t>
      </w:r>
      <w:r w:rsidR="00D8126D" w:rsidRPr="00A80A97">
        <w:t xml:space="preserve">rate </w:t>
      </w:r>
      <w:r w:rsidR="00492A45" w:rsidRPr="00A80A97">
        <w:t xml:space="preserve">of </w:t>
      </w:r>
      <w:r w:rsidR="007C1B76">
        <w:t xml:space="preserve">an </w:t>
      </w:r>
      <w:r w:rsidR="002E504E" w:rsidRPr="00A80A97">
        <w:t xml:space="preserve">installed unit, </w:t>
      </w:r>
      <w:r w:rsidR="00D00562">
        <w:t xml:space="preserve">the </w:t>
      </w:r>
      <w:r w:rsidR="002E504E" w:rsidRPr="00A80A97">
        <w:t xml:space="preserve">analyst can perform a Measured Mile </w:t>
      </w:r>
      <w:r w:rsidR="00811687">
        <w:t>A</w:t>
      </w:r>
      <w:r w:rsidR="002E504E" w:rsidRPr="00A80A97">
        <w:t xml:space="preserve">nalysis based on earned revenue. By removing fixed costs like General Conditions, an analyst can calculate the how many </w:t>
      </w:r>
      <w:r w:rsidR="00BE1083" w:rsidRPr="00A80A97">
        <w:t>dollars are earned per man-hour spent.</w:t>
      </w:r>
    </w:p>
    <w:p w14:paraId="56F909ED" w14:textId="77777777" w:rsidR="00984854" w:rsidRPr="00A80A97" w:rsidRDefault="00984854" w:rsidP="00A61DB9"/>
    <w:p w14:paraId="08920246" w14:textId="4BDE1D41" w:rsidR="00984854" w:rsidRPr="00A80A97" w:rsidRDefault="00A26265" w:rsidP="00A61DB9">
      <w:r w:rsidRPr="00A80A97">
        <w:t xml:space="preserve">There are </w:t>
      </w:r>
      <w:r w:rsidR="00EF7667" w:rsidRPr="00A80A97">
        <w:t>several</w:t>
      </w:r>
      <w:r w:rsidRPr="00A80A97">
        <w:t xml:space="preserve"> ways that inefficiency </w:t>
      </w:r>
      <w:r w:rsidR="00D15FCE" w:rsidRPr="00A80A97">
        <w:t xml:space="preserve">can be calculated </w:t>
      </w:r>
      <w:r w:rsidR="00C92429" w:rsidRPr="00A80A97">
        <w:t xml:space="preserve">in a Measured Mile Analysis </w:t>
      </w:r>
      <w:r w:rsidRPr="00A80A97">
        <w:t xml:space="preserve">between the Unimpacted and Impacted Periods. </w:t>
      </w:r>
      <w:r w:rsidR="00984854" w:rsidRPr="00A80A97">
        <w:t>Table 1 below shows a</w:t>
      </w:r>
      <w:r w:rsidR="00C15C54" w:rsidRPr="00A80A97">
        <w:t>n</w:t>
      </w:r>
      <w:r w:rsidR="006579E7" w:rsidRPr="00A80A97">
        <w:t xml:space="preserve"> </w:t>
      </w:r>
      <w:r w:rsidR="00984854" w:rsidRPr="00A80A97">
        <w:t>example of the results of a</w:t>
      </w:r>
      <w:r w:rsidR="00BE1083" w:rsidRPr="00A80A97">
        <w:t xml:space="preserve"> unit based</w:t>
      </w:r>
      <w:r w:rsidR="00984854" w:rsidRPr="00A80A97">
        <w:t xml:space="preserve"> Measured Mile Analyses</w:t>
      </w:r>
      <w:r w:rsidR="004D0AB6" w:rsidRPr="00A80A97">
        <w:t xml:space="preserve">, which </w:t>
      </w:r>
      <w:r w:rsidR="004D0AB6" w:rsidRPr="00A80A97">
        <w:lastRenderedPageBreak/>
        <w:t xml:space="preserve">compares the man-hours </w:t>
      </w:r>
      <w:r w:rsidR="006579E7" w:rsidRPr="00A80A97">
        <w:t>required t</w:t>
      </w:r>
      <w:r w:rsidR="004D0AB6" w:rsidRPr="00A80A97">
        <w:t xml:space="preserve">o place </w:t>
      </w:r>
      <w:r w:rsidR="00B24F88" w:rsidRPr="00A80A97">
        <w:t>linear foot (</w:t>
      </w:r>
      <w:r w:rsidR="004D0AB6" w:rsidRPr="00A80A97">
        <w:t>LF</w:t>
      </w:r>
      <w:r w:rsidR="00B24F88" w:rsidRPr="00A80A97">
        <w:t>)</w:t>
      </w:r>
      <w:r w:rsidR="004D0AB6" w:rsidRPr="00A80A97">
        <w:t xml:space="preserve"> of 48” of pipe</w:t>
      </w:r>
      <w:r w:rsidR="00984854" w:rsidRPr="00A80A97">
        <w:t>.</w:t>
      </w:r>
      <w:r w:rsidR="0047473B" w:rsidRPr="00A80A97">
        <w:t xml:space="preserve"> Th</w:t>
      </w:r>
      <w:r w:rsidR="004225BF" w:rsidRPr="00A80A97">
        <w:t xml:space="preserve">is </w:t>
      </w:r>
      <w:r w:rsidR="0047473B" w:rsidRPr="00A80A97">
        <w:t xml:space="preserve">shows </w:t>
      </w:r>
      <w:r w:rsidR="00367A6A" w:rsidRPr="00A80A97">
        <w:t xml:space="preserve">that </w:t>
      </w:r>
      <w:r w:rsidR="0000461D" w:rsidRPr="00A80A97">
        <w:t xml:space="preserve">the </w:t>
      </w:r>
      <w:r w:rsidR="00367A6A" w:rsidRPr="00A80A97">
        <w:t xml:space="preserve">contractor </w:t>
      </w:r>
      <w:r w:rsidR="00EF7667" w:rsidRPr="00A80A97">
        <w:t>spent</w:t>
      </w:r>
      <w:r w:rsidR="00F74243" w:rsidRPr="00A80A97">
        <w:t xml:space="preserve"> </w:t>
      </w:r>
      <w:r w:rsidR="00602A2E" w:rsidRPr="00A80A97">
        <w:t>.92</w:t>
      </w:r>
      <w:r w:rsidR="00F74243" w:rsidRPr="00A80A97">
        <w:t xml:space="preserve"> hour</w:t>
      </w:r>
      <w:r w:rsidR="00602A2E" w:rsidRPr="00A80A97">
        <w:t xml:space="preserve">s </w:t>
      </w:r>
      <w:r w:rsidR="00742175" w:rsidRPr="00A80A97">
        <w:t>placing</w:t>
      </w:r>
      <w:r w:rsidR="00602A2E" w:rsidRPr="00A80A97">
        <w:t xml:space="preserve"> </w:t>
      </w:r>
      <w:r w:rsidR="007C7BC4" w:rsidRPr="00A80A97">
        <w:t>1 LF of pipe</w:t>
      </w:r>
      <w:r w:rsidR="00F74243" w:rsidRPr="00A80A97">
        <w:t xml:space="preserve"> in the Unimpacted </w:t>
      </w:r>
      <w:r w:rsidR="00B24F88" w:rsidRPr="00A80A97">
        <w:t>Period and</w:t>
      </w:r>
      <w:r w:rsidR="00EF7667" w:rsidRPr="00A80A97">
        <w:t xml:space="preserve"> spent</w:t>
      </w:r>
      <w:r w:rsidR="00F74243" w:rsidRPr="00A80A97">
        <w:t xml:space="preserve"> </w:t>
      </w:r>
      <w:r w:rsidR="007C7BC4" w:rsidRPr="00A80A97">
        <w:t>1.84</w:t>
      </w:r>
      <w:r w:rsidR="00F74243" w:rsidRPr="00A80A97">
        <w:t xml:space="preserve"> </w:t>
      </w:r>
      <w:r w:rsidR="0084088A" w:rsidRPr="00A80A97">
        <w:t>hour</w:t>
      </w:r>
      <w:r w:rsidR="007C7BC4" w:rsidRPr="00A80A97">
        <w:t xml:space="preserve">s </w:t>
      </w:r>
      <w:r w:rsidR="00B24F88" w:rsidRPr="00A80A97">
        <w:t>placing</w:t>
      </w:r>
      <w:r w:rsidR="007C7BC4" w:rsidRPr="00A80A97">
        <w:t xml:space="preserve"> 1 LF of pipe in the Impacted</w:t>
      </w:r>
      <w:r w:rsidR="0084088A" w:rsidRPr="00A80A97">
        <w:t xml:space="preserve"> Period. </w:t>
      </w:r>
      <w:r w:rsidR="007C7BC4" w:rsidRPr="00A80A97">
        <w:t>Thus,</w:t>
      </w:r>
      <w:r w:rsidR="00A25050" w:rsidRPr="00A80A97">
        <w:t xml:space="preserve"> </w:t>
      </w:r>
      <w:r w:rsidR="007C7BC4" w:rsidRPr="00A80A97">
        <w:t xml:space="preserve">there was .91 hours </w:t>
      </w:r>
      <w:r w:rsidR="00A538FF" w:rsidRPr="00A80A97">
        <w:t>los</w:t>
      </w:r>
      <w:r w:rsidR="00E24EC7">
        <w:t>t</w:t>
      </w:r>
      <w:r w:rsidR="00A538FF" w:rsidRPr="00A80A97">
        <w:t xml:space="preserve"> per </w:t>
      </w:r>
      <w:r w:rsidR="00B24F88" w:rsidRPr="00A80A97">
        <w:t>LF</w:t>
      </w:r>
      <w:r w:rsidR="00A538FF" w:rsidRPr="00A80A97">
        <w:t xml:space="preserve"> </w:t>
      </w:r>
      <w:r w:rsidR="00742175" w:rsidRPr="00A80A97">
        <w:t xml:space="preserve">of </w:t>
      </w:r>
      <w:r w:rsidR="00A538FF" w:rsidRPr="00A80A97">
        <w:t>pipe placed</w:t>
      </w:r>
      <w:r w:rsidR="001937A8" w:rsidRPr="00A80A97">
        <w:t xml:space="preserve"> in the Impacted Period</w:t>
      </w:r>
      <w:r w:rsidR="008801D6" w:rsidRPr="00A80A97">
        <w:t>, which equates to</w:t>
      </w:r>
      <w:r w:rsidR="004751A5" w:rsidRPr="00A80A97">
        <w:t xml:space="preserve"> a</w:t>
      </w:r>
      <w:r w:rsidR="00CD0FE9" w:rsidRPr="00A80A97">
        <w:t xml:space="preserve"> </w:t>
      </w:r>
      <w:r w:rsidR="00EF7667" w:rsidRPr="00A80A97">
        <w:t>99% Inefficiency Rate</w:t>
      </w:r>
      <w:r w:rsidR="008037B6" w:rsidRPr="00A80A97">
        <w:t>.</w:t>
      </w:r>
      <w:r w:rsidR="001E48B9" w:rsidRPr="00A80A97">
        <w:t xml:space="preserve"> </w:t>
      </w:r>
      <w:r w:rsidR="008801D6" w:rsidRPr="00A80A97">
        <w:t>With 13,500 LF placed in the Impacted Period</w:t>
      </w:r>
      <w:r w:rsidR="00742175" w:rsidRPr="00A80A97">
        <w:t xml:space="preserve">, the </w:t>
      </w:r>
      <w:r w:rsidR="00A032DB" w:rsidRPr="00A80A97">
        <w:t>c</w:t>
      </w:r>
      <w:r w:rsidR="00742175" w:rsidRPr="00A80A97">
        <w:t>ontract</w:t>
      </w:r>
      <w:r w:rsidR="00A032DB" w:rsidRPr="00A80A97">
        <w:t>or</w:t>
      </w:r>
      <w:r w:rsidR="00742175" w:rsidRPr="00A80A97">
        <w:t xml:space="preserve"> lost 12,338.46 hours</w:t>
      </w:r>
      <w:r w:rsidR="00B24F88" w:rsidRPr="00A80A97">
        <w:t xml:space="preserve"> (.91 x 13,500 LF)</w:t>
      </w:r>
      <w:r w:rsidR="00742175" w:rsidRPr="00A80A97">
        <w:t xml:space="preserve"> in that period. </w:t>
      </w:r>
      <w:r w:rsidR="001E48B9" w:rsidRPr="00A80A97">
        <w:t xml:space="preserve">With a Labor Rate of $85.20, </w:t>
      </w:r>
      <w:r w:rsidR="00B62E43" w:rsidRPr="00A80A97">
        <w:t xml:space="preserve">and </w:t>
      </w:r>
      <w:r w:rsidR="00742175" w:rsidRPr="00A80A97">
        <w:t>12,338.46 hours lost,</w:t>
      </w:r>
      <w:r w:rsidR="00B62E43" w:rsidRPr="00A80A97">
        <w:t xml:space="preserve"> </w:t>
      </w:r>
      <w:r w:rsidR="001E48B9" w:rsidRPr="00A80A97">
        <w:t>the cost of the loss of productivity equate</w:t>
      </w:r>
      <w:r w:rsidR="004039B8" w:rsidRPr="00A80A97">
        <w:t>s</w:t>
      </w:r>
      <w:r w:rsidR="001E48B9" w:rsidRPr="00A80A97">
        <w:t xml:space="preserve"> to </w:t>
      </w:r>
      <w:r w:rsidR="00742175" w:rsidRPr="00A80A97">
        <w:t>$1,051,236.92</w:t>
      </w:r>
      <w:r w:rsidR="001E48B9" w:rsidRPr="00A80A97">
        <w:t>.</w:t>
      </w:r>
    </w:p>
    <w:p w14:paraId="0A7A08F3" w14:textId="674F9771" w:rsidR="004039B8" w:rsidRPr="00A80A97" w:rsidRDefault="004039B8" w:rsidP="00A61DB9"/>
    <w:p w14:paraId="1EA24BE6" w14:textId="3E4A84ED" w:rsidR="006579E7" w:rsidRPr="00A80A97" w:rsidRDefault="004039B8" w:rsidP="00712CE3">
      <w:pPr>
        <w:keepNext/>
      </w:pPr>
      <w:r w:rsidRPr="00A80A97">
        <w:t>Table 1</w:t>
      </w:r>
    </w:p>
    <w:tbl>
      <w:tblPr>
        <w:tblW w:w="5000" w:type="pct"/>
        <w:tblLook w:val="04A0" w:firstRow="1" w:lastRow="0" w:firstColumn="1" w:lastColumn="0" w:noHBand="0" w:noVBand="1"/>
      </w:tblPr>
      <w:tblGrid>
        <w:gridCol w:w="689"/>
        <w:gridCol w:w="4166"/>
        <w:gridCol w:w="1374"/>
        <w:gridCol w:w="1479"/>
        <w:gridCol w:w="1642"/>
      </w:tblGrid>
      <w:tr w:rsidR="001A4BAA" w:rsidRPr="008B711D" w14:paraId="65AECA71" w14:textId="77777777" w:rsidTr="002E265D">
        <w:trPr>
          <w:trHeight w:val="300"/>
          <w:tblHeader/>
        </w:trPr>
        <w:tc>
          <w:tcPr>
            <w:tcW w:w="5000" w:type="pct"/>
            <w:gridSpan w:val="5"/>
            <w:tcBorders>
              <w:top w:val="single" w:sz="4" w:space="0" w:color="auto"/>
              <w:left w:val="single" w:sz="4" w:space="0" w:color="auto"/>
              <w:bottom w:val="single" w:sz="4" w:space="0" w:color="auto"/>
              <w:right w:val="single" w:sz="4" w:space="0" w:color="auto"/>
            </w:tcBorders>
            <w:noWrap/>
            <w:vAlign w:val="bottom"/>
            <w:hideMark/>
          </w:tcPr>
          <w:p w14:paraId="02BE9D8D" w14:textId="77777777" w:rsidR="00CD0FE9" w:rsidRPr="008B711D" w:rsidRDefault="00CD0FE9" w:rsidP="00CD0FE9">
            <w:pPr>
              <w:jc w:val="center"/>
              <w:rPr>
                <w:rFonts w:asciiTheme="minorHAnsi" w:hAnsiTheme="minorHAnsi" w:cstheme="minorHAnsi"/>
                <w:b/>
                <w:bCs/>
                <w:color w:val="000000"/>
                <w:szCs w:val="20"/>
              </w:rPr>
            </w:pPr>
            <w:r w:rsidRPr="008B711D">
              <w:rPr>
                <w:rFonts w:asciiTheme="minorHAnsi" w:hAnsiTheme="minorHAnsi" w:cstheme="minorHAnsi"/>
                <w:b/>
                <w:bCs/>
                <w:color w:val="000000"/>
                <w:szCs w:val="20"/>
              </w:rPr>
              <w:t>Unit Based Measured Mile Example</w:t>
            </w:r>
          </w:p>
        </w:tc>
      </w:tr>
      <w:tr w:rsidR="00B838F8" w:rsidRPr="008B711D" w14:paraId="78AA8E84" w14:textId="77777777" w:rsidTr="002E265D">
        <w:trPr>
          <w:trHeight w:val="300"/>
          <w:tblHeader/>
        </w:trPr>
        <w:tc>
          <w:tcPr>
            <w:tcW w:w="5000" w:type="pct"/>
            <w:gridSpan w:val="5"/>
            <w:tcBorders>
              <w:top w:val="single" w:sz="4" w:space="0" w:color="auto"/>
              <w:left w:val="single" w:sz="4" w:space="0" w:color="auto"/>
              <w:bottom w:val="single" w:sz="4" w:space="0" w:color="auto"/>
              <w:right w:val="single" w:sz="4" w:space="0" w:color="000000"/>
            </w:tcBorders>
            <w:noWrap/>
            <w:vAlign w:val="bottom"/>
            <w:hideMark/>
          </w:tcPr>
          <w:p w14:paraId="7D992EEF" w14:textId="0FD70943" w:rsidR="00CD0FE9" w:rsidRPr="008B711D" w:rsidRDefault="004039B8" w:rsidP="00CD0FE9">
            <w:pPr>
              <w:jc w:val="center"/>
              <w:rPr>
                <w:rFonts w:asciiTheme="minorHAnsi" w:hAnsiTheme="minorHAnsi" w:cstheme="minorHAnsi"/>
                <w:b/>
                <w:bCs/>
                <w:color w:val="000000"/>
                <w:szCs w:val="20"/>
              </w:rPr>
            </w:pPr>
            <w:r w:rsidRPr="008B711D">
              <w:rPr>
                <w:rFonts w:asciiTheme="minorHAnsi" w:hAnsiTheme="minorHAnsi" w:cstheme="minorHAnsi"/>
                <w:b/>
                <w:bCs/>
                <w:color w:val="000000"/>
                <w:szCs w:val="20"/>
              </w:rPr>
              <w:t>Production</w:t>
            </w:r>
            <w:r w:rsidR="00CD0FE9" w:rsidRPr="008B711D">
              <w:rPr>
                <w:rFonts w:asciiTheme="minorHAnsi" w:hAnsiTheme="minorHAnsi" w:cstheme="minorHAnsi"/>
                <w:b/>
                <w:bCs/>
                <w:color w:val="000000"/>
                <w:szCs w:val="20"/>
              </w:rPr>
              <w:t xml:space="preserve"> Metrics</w:t>
            </w:r>
          </w:p>
        </w:tc>
      </w:tr>
      <w:tr w:rsidR="001C5B16" w:rsidRPr="008B711D" w14:paraId="7C81E56E" w14:textId="77777777" w:rsidTr="002E265D">
        <w:trPr>
          <w:trHeight w:val="600"/>
          <w:tblHeader/>
        </w:trPr>
        <w:tc>
          <w:tcPr>
            <w:tcW w:w="368" w:type="pct"/>
            <w:tcBorders>
              <w:top w:val="nil"/>
              <w:left w:val="single" w:sz="4" w:space="0" w:color="auto"/>
              <w:bottom w:val="single" w:sz="4" w:space="0" w:color="auto"/>
              <w:right w:val="single" w:sz="4" w:space="0" w:color="auto"/>
            </w:tcBorders>
            <w:noWrap/>
            <w:vAlign w:val="bottom"/>
            <w:hideMark/>
          </w:tcPr>
          <w:p w14:paraId="422A5C5B" w14:textId="77777777" w:rsidR="00CD0FE9" w:rsidRPr="008B711D" w:rsidRDefault="00CD0FE9" w:rsidP="00CD0FE9">
            <w:pPr>
              <w:jc w:val="center"/>
              <w:rPr>
                <w:rFonts w:asciiTheme="minorHAnsi" w:hAnsiTheme="minorHAnsi" w:cstheme="minorHAnsi"/>
                <w:b/>
                <w:bCs/>
                <w:color w:val="000000"/>
                <w:szCs w:val="20"/>
              </w:rPr>
            </w:pPr>
            <w:r w:rsidRPr="008B711D">
              <w:rPr>
                <w:rFonts w:asciiTheme="minorHAnsi" w:hAnsiTheme="minorHAnsi" w:cstheme="minorHAnsi"/>
                <w:b/>
                <w:bCs/>
                <w:color w:val="000000"/>
                <w:szCs w:val="20"/>
              </w:rPr>
              <w:t>Row</w:t>
            </w:r>
          </w:p>
        </w:tc>
        <w:tc>
          <w:tcPr>
            <w:tcW w:w="2228" w:type="pct"/>
            <w:tcBorders>
              <w:top w:val="nil"/>
              <w:left w:val="nil"/>
              <w:bottom w:val="single" w:sz="4" w:space="0" w:color="auto"/>
              <w:right w:val="single" w:sz="4" w:space="0" w:color="auto"/>
            </w:tcBorders>
            <w:noWrap/>
            <w:vAlign w:val="bottom"/>
            <w:hideMark/>
          </w:tcPr>
          <w:p w14:paraId="6E25F961" w14:textId="77777777" w:rsidR="00CD0FE9" w:rsidRPr="008B711D" w:rsidRDefault="00CD0FE9" w:rsidP="00CD0FE9">
            <w:pPr>
              <w:jc w:val="left"/>
              <w:rPr>
                <w:rFonts w:asciiTheme="minorHAnsi" w:hAnsiTheme="minorHAnsi" w:cstheme="minorHAnsi"/>
                <w:b/>
                <w:bCs/>
                <w:color w:val="000000"/>
                <w:szCs w:val="20"/>
              </w:rPr>
            </w:pPr>
            <w:r w:rsidRPr="008B711D">
              <w:rPr>
                <w:rFonts w:asciiTheme="minorHAnsi" w:hAnsiTheme="minorHAnsi" w:cstheme="minorHAnsi"/>
                <w:b/>
                <w:bCs/>
                <w:color w:val="000000"/>
                <w:szCs w:val="20"/>
              </w:rPr>
              <w:t>Period of Work</w:t>
            </w:r>
          </w:p>
        </w:tc>
        <w:tc>
          <w:tcPr>
            <w:tcW w:w="735" w:type="pct"/>
            <w:tcBorders>
              <w:top w:val="nil"/>
              <w:left w:val="nil"/>
              <w:bottom w:val="single" w:sz="4" w:space="0" w:color="auto"/>
              <w:right w:val="single" w:sz="4" w:space="0" w:color="auto"/>
            </w:tcBorders>
            <w:noWrap/>
            <w:vAlign w:val="bottom"/>
            <w:hideMark/>
          </w:tcPr>
          <w:p w14:paraId="41DCF4C6" w14:textId="77777777" w:rsidR="00CD0FE9" w:rsidRPr="008B711D" w:rsidRDefault="00CD0FE9" w:rsidP="00CD0FE9">
            <w:pPr>
              <w:jc w:val="center"/>
              <w:rPr>
                <w:rFonts w:asciiTheme="minorHAnsi" w:hAnsiTheme="minorHAnsi" w:cstheme="minorHAnsi"/>
                <w:b/>
                <w:bCs/>
                <w:color w:val="000000"/>
                <w:szCs w:val="20"/>
              </w:rPr>
            </w:pPr>
            <w:r w:rsidRPr="008B711D">
              <w:rPr>
                <w:rFonts w:asciiTheme="minorHAnsi" w:hAnsiTheme="minorHAnsi" w:cstheme="minorHAnsi"/>
                <w:b/>
                <w:bCs/>
                <w:color w:val="000000"/>
                <w:szCs w:val="20"/>
              </w:rPr>
              <w:t>LF Installed</w:t>
            </w:r>
          </w:p>
        </w:tc>
        <w:tc>
          <w:tcPr>
            <w:tcW w:w="791" w:type="pct"/>
            <w:tcBorders>
              <w:top w:val="nil"/>
              <w:left w:val="nil"/>
              <w:bottom w:val="single" w:sz="4" w:space="0" w:color="auto"/>
              <w:right w:val="single" w:sz="4" w:space="0" w:color="auto"/>
            </w:tcBorders>
            <w:vAlign w:val="bottom"/>
            <w:hideMark/>
          </w:tcPr>
          <w:p w14:paraId="54A7378E" w14:textId="77777777" w:rsidR="00CD0FE9" w:rsidRPr="008B711D" w:rsidRDefault="00CD0FE9" w:rsidP="00CD0FE9">
            <w:pPr>
              <w:jc w:val="center"/>
              <w:rPr>
                <w:rFonts w:asciiTheme="minorHAnsi" w:hAnsiTheme="minorHAnsi" w:cstheme="minorHAnsi"/>
                <w:b/>
                <w:bCs/>
                <w:color w:val="000000"/>
                <w:szCs w:val="20"/>
              </w:rPr>
            </w:pPr>
            <w:r w:rsidRPr="008B711D">
              <w:rPr>
                <w:rFonts w:asciiTheme="minorHAnsi" w:hAnsiTheme="minorHAnsi" w:cstheme="minorHAnsi"/>
                <w:b/>
                <w:bCs/>
                <w:color w:val="000000"/>
                <w:szCs w:val="20"/>
              </w:rPr>
              <w:t>Man-Hours Expended</w:t>
            </w:r>
          </w:p>
        </w:tc>
        <w:tc>
          <w:tcPr>
            <w:tcW w:w="878" w:type="pct"/>
            <w:tcBorders>
              <w:top w:val="nil"/>
              <w:left w:val="nil"/>
              <w:bottom w:val="single" w:sz="4" w:space="0" w:color="auto"/>
              <w:right w:val="single" w:sz="4" w:space="0" w:color="auto"/>
            </w:tcBorders>
            <w:noWrap/>
            <w:vAlign w:val="bottom"/>
            <w:hideMark/>
          </w:tcPr>
          <w:p w14:paraId="2E0B2472" w14:textId="3195CB7C" w:rsidR="00CD0FE9" w:rsidRPr="008B711D" w:rsidRDefault="00CD0FE9" w:rsidP="00CD0FE9">
            <w:pPr>
              <w:jc w:val="center"/>
              <w:rPr>
                <w:rFonts w:asciiTheme="minorHAnsi" w:hAnsiTheme="minorHAnsi" w:cstheme="minorHAnsi"/>
                <w:b/>
                <w:bCs/>
                <w:color w:val="000000"/>
                <w:szCs w:val="20"/>
              </w:rPr>
            </w:pPr>
            <w:r w:rsidRPr="008B711D">
              <w:rPr>
                <w:rFonts w:asciiTheme="minorHAnsi" w:hAnsiTheme="minorHAnsi" w:cstheme="minorHAnsi"/>
                <w:b/>
                <w:bCs/>
                <w:color w:val="000000"/>
                <w:szCs w:val="20"/>
              </w:rPr>
              <w:t>HRs</w:t>
            </w:r>
            <w:r w:rsidR="00E31054" w:rsidRPr="008B711D">
              <w:rPr>
                <w:rFonts w:asciiTheme="minorHAnsi" w:hAnsiTheme="minorHAnsi" w:cstheme="minorHAnsi"/>
                <w:b/>
                <w:bCs/>
                <w:color w:val="000000"/>
                <w:szCs w:val="20"/>
              </w:rPr>
              <w:t xml:space="preserve"> per </w:t>
            </w:r>
            <w:r w:rsidRPr="008B711D">
              <w:rPr>
                <w:rFonts w:asciiTheme="minorHAnsi" w:hAnsiTheme="minorHAnsi" w:cstheme="minorHAnsi"/>
                <w:b/>
                <w:bCs/>
                <w:color w:val="000000"/>
                <w:szCs w:val="20"/>
              </w:rPr>
              <w:t>LF</w:t>
            </w:r>
          </w:p>
        </w:tc>
      </w:tr>
      <w:tr w:rsidR="001C5B16" w:rsidRPr="008B711D" w14:paraId="19AF4BFE" w14:textId="77777777" w:rsidTr="002E265D">
        <w:trPr>
          <w:trHeight w:val="134"/>
        </w:trPr>
        <w:tc>
          <w:tcPr>
            <w:tcW w:w="368" w:type="pct"/>
            <w:tcBorders>
              <w:top w:val="nil"/>
              <w:left w:val="single" w:sz="4" w:space="0" w:color="auto"/>
              <w:bottom w:val="single" w:sz="4" w:space="0" w:color="auto"/>
              <w:right w:val="single" w:sz="4" w:space="0" w:color="auto"/>
            </w:tcBorders>
            <w:noWrap/>
            <w:vAlign w:val="bottom"/>
            <w:hideMark/>
          </w:tcPr>
          <w:p w14:paraId="1E4B99C2"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A</w:t>
            </w:r>
          </w:p>
        </w:tc>
        <w:tc>
          <w:tcPr>
            <w:tcW w:w="2228" w:type="pct"/>
            <w:tcBorders>
              <w:top w:val="nil"/>
              <w:left w:val="nil"/>
              <w:bottom w:val="single" w:sz="4" w:space="0" w:color="auto"/>
              <w:right w:val="single" w:sz="4" w:space="0" w:color="auto"/>
            </w:tcBorders>
            <w:noWrap/>
            <w:vAlign w:val="bottom"/>
            <w:hideMark/>
          </w:tcPr>
          <w:p w14:paraId="5556776D" w14:textId="3B8D56E0" w:rsidR="00CD0FE9" w:rsidRPr="008B711D" w:rsidRDefault="004039B8" w:rsidP="00CD0FE9">
            <w:pPr>
              <w:jc w:val="left"/>
              <w:rPr>
                <w:rFonts w:asciiTheme="minorHAnsi" w:hAnsiTheme="minorHAnsi" w:cstheme="minorHAnsi"/>
                <w:color w:val="000000"/>
                <w:szCs w:val="20"/>
              </w:rPr>
            </w:pPr>
            <w:r w:rsidRPr="008B711D">
              <w:rPr>
                <w:rFonts w:asciiTheme="minorHAnsi" w:hAnsiTheme="minorHAnsi" w:cstheme="minorHAnsi"/>
                <w:color w:val="000000"/>
                <w:szCs w:val="20"/>
              </w:rPr>
              <w:t>Unimpacted</w:t>
            </w:r>
            <w:r w:rsidR="00CD0FE9" w:rsidRPr="008B711D">
              <w:rPr>
                <w:rFonts w:asciiTheme="minorHAnsi" w:hAnsiTheme="minorHAnsi" w:cstheme="minorHAnsi"/>
                <w:color w:val="000000"/>
                <w:szCs w:val="20"/>
              </w:rPr>
              <w:t xml:space="preserve">  Period: Jan-23 thru Oct-23</w:t>
            </w:r>
          </w:p>
        </w:tc>
        <w:tc>
          <w:tcPr>
            <w:tcW w:w="735" w:type="pct"/>
            <w:tcBorders>
              <w:top w:val="nil"/>
              <w:left w:val="nil"/>
              <w:bottom w:val="single" w:sz="4" w:space="0" w:color="auto"/>
              <w:right w:val="single" w:sz="4" w:space="0" w:color="auto"/>
            </w:tcBorders>
            <w:noWrap/>
            <w:vAlign w:val="bottom"/>
            <w:hideMark/>
          </w:tcPr>
          <w:p w14:paraId="7130632A" w14:textId="02E4C5F8"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22,100.00</w:t>
            </w:r>
          </w:p>
        </w:tc>
        <w:tc>
          <w:tcPr>
            <w:tcW w:w="791" w:type="pct"/>
            <w:tcBorders>
              <w:top w:val="nil"/>
              <w:left w:val="nil"/>
              <w:bottom w:val="single" w:sz="4" w:space="0" w:color="auto"/>
              <w:right w:val="single" w:sz="4" w:space="0" w:color="auto"/>
            </w:tcBorders>
            <w:noWrap/>
            <w:vAlign w:val="bottom"/>
            <w:hideMark/>
          </w:tcPr>
          <w:p w14:paraId="685948E7" w14:textId="06C203E0"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20,400.00</w:t>
            </w:r>
          </w:p>
        </w:tc>
        <w:tc>
          <w:tcPr>
            <w:tcW w:w="878" w:type="pct"/>
            <w:tcBorders>
              <w:top w:val="nil"/>
              <w:left w:val="nil"/>
              <w:bottom w:val="single" w:sz="4" w:space="0" w:color="auto"/>
              <w:right w:val="single" w:sz="4" w:space="0" w:color="auto"/>
            </w:tcBorders>
            <w:noWrap/>
            <w:vAlign w:val="bottom"/>
            <w:hideMark/>
          </w:tcPr>
          <w:p w14:paraId="444EAF7E"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0.92</w:t>
            </w:r>
          </w:p>
        </w:tc>
      </w:tr>
      <w:tr w:rsidR="001C5B16" w:rsidRPr="008B711D" w14:paraId="442A6052" w14:textId="77777777" w:rsidTr="002E265D">
        <w:trPr>
          <w:trHeight w:val="188"/>
        </w:trPr>
        <w:tc>
          <w:tcPr>
            <w:tcW w:w="368" w:type="pct"/>
            <w:tcBorders>
              <w:top w:val="nil"/>
              <w:left w:val="single" w:sz="4" w:space="0" w:color="auto"/>
              <w:bottom w:val="single" w:sz="4" w:space="0" w:color="auto"/>
              <w:right w:val="single" w:sz="4" w:space="0" w:color="auto"/>
            </w:tcBorders>
            <w:noWrap/>
            <w:vAlign w:val="bottom"/>
            <w:hideMark/>
          </w:tcPr>
          <w:p w14:paraId="7503133B"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B</w:t>
            </w:r>
          </w:p>
        </w:tc>
        <w:tc>
          <w:tcPr>
            <w:tcW w:w="2228" w:type="pct"/>
            <w:tcBorders>
              <w:top w:val="nil"/>
              <w:left w:val="nil"/>
              <w:bottom w:val="single" w:sz="4" w:space="0" w:color="auto"/>
              <w:right w:val="single" w:sz="4" w:space="0" w:color="auto"/>
            </w:tcBorders>
            <w:noWrap/>
            <w:vAlign w:val="bottom"/>
            <w:hideMark/>
          </w:tcPr>
          <w:p w14:paraId="1205B4F9" w14:textId="77777777" w:rsidR="00CD0FE9" w:rsidRPr="008B711D" w:rsidRDefault="00CD0FE9" w:rsidP="00CD0FE9">
            <w:pPr>
              <w:jc w:val="left"/>
              <w:rPr>
                <w:rFonts w:asciiTheme="minorHAnsi" w:hAnsiTheme="minorHAnsi" w:cstheme="minorHAnsi"/>
                <w:color w:val="000000"/>
                <w:szCs w:val="20"/>
              </w:rPr>
            </w:pPr>
            <w:r w:rsidRPr="008B711D">
              <w:rPr>
                <w:rFonts w:asciiTheme="minorHAnsi" w:hAnsiTheme="minorHAnsi" w:cstheme="minorHAnsi"/>
                <w:color w:val="000000"/>
                <w:szCs w:val="20"/>
              </w:rPr>
              <w:t>Impacted  Period: Oct-23 thru Jun-24</w:t>
            </w:r>
          </w:p>
        </w:tc>
        <w:tc>
          <w:tcPr>
            <w:tcW w:w="735" w:type="pct"/>
            <w:tcBorders>
              <w:top w:val="nil"/>
              <w:left w:val="nil"/>
              <w:bottom w:val="single" w:sz="4" w:space="0" w:color="auto"/>
              <w:right w:val="single" w:sz="4" w:space="0" w:color="auto"/>
            </w:tcBorders>
            <w:noWrap/>
            <w:vAlign w:val="bottom"/>
            <w:hideMark/>
          </w:tcPr>
          <w:p w14:paraId="7FFC75B7" w14:textId="1D8B5ED6"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13,500.00</w:t>
            </w:r>
          </w:p>
        </w:tc>
        <w:tc>
          <w:tcPr>
            <w:tcW w:w="791" w:type="pct"/>
            <w:tcBorders>
              <w:top w:val="nil"/>
              <w:left w:val="nil"/>
              <w:bottom w:val="single" w:sz="4" w:space="0" w:color="auto"/>
              <w:right w:val="single" w:sz="4" w:space="0" w:color="auto"/>
            </w:tcBorders>
            <w:noWrap/>
            <w:vAlign w:val="bottom"/>
            <w:hideMark/>
          </w:tcPr>
          <w:p w14:paraId="133CF5B4" w14:textId="5C1B6178"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24,800.00</w:t>
            </w:r>
          </w:p>
        </w:tc>
        <w:tc>
          <w:tcPr>
            <w:tcW w:w="878" w:type="pct"/>
            <w:tcBorders>
              <w:top w:val="nil"/>
              <w:left w:val="nil"/>
              <w:bottom w:val="single" w:sz="4" w:space="0" w:color="auto"/>
              <w:right w:val="single" w:sz="4" w:space="0" w:color="auto"/>
            </w:tcBorders>
            <w:noWrap/>
            <w:vAlign w:val="bottom"/>
            <w:hideMark/>
          </w:tcPr>
          <w:p w14:paraId="24AAB68F"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1.84</w:t>
            </w:r>
          </w:p>
        </w:tc>
      </w:tr>
      <w:tr w:rsidR="005C613B" w:rsidRPr="008B711D" w14:paraId="07B24DB4" w14:textId="77777777" w:rsidTr="002E265D">
        <w:trPr>
          <w:trHeight w:val="143"/>
        </w:trPr>
        <w:tc>
          <w:tcPr>
            <w:tcW w:w="368" w:type="pct"/>
            <w:tcBorders>
              <w:top w:val="nil"/>
              <w:left w:val="single" w:sz="4" w:space="0" w:color="auto"/>
              <w:bottom w:val="single" w:sz="4" w:space="0" w:color="auto"/>
              <w:right w:val="single" w:sz="4" w:space="0" w:color="auto"/>
            </w:tcBorders>
            <w:noWrap/>
            <w:vAlign w:val="bottom"/>
            <w:hideMark/>
          </w:tcPr>
          <w:p w14:paraId="28BDF17F"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C</w:t>
            </w:r>
          </w:p>
        </w:tc>
        <w:tc>
          <w:tcPr>
            <w:tcW w:w="2228" w:type="pct"/>
            <w:tcBorders>
              <w:top w:val="nil"/>
              <w:left w:val="nil"/>
              <w:bottom w:val="single" w:sz="4" w:space="0" w:color="auto"/>
              <w:right w:val="nil"/>
            </w:tcBorders>
            <w:noWrap/>
            <w:vAlign w:val="bottom"/>
            <w:hideMark/>
          </w:tcPr>
          <w:p w14:paraId="19E66876" w14:textId="2A3F7184" w:rsidR="00CD0FE9" w:rsidRPr="008B711D" w:rsidRDefault="004039B8" w:rsidP="00CD0FE9">
            <w:pPr>
              <w:jc w:val="left"/>
              <w:rPr>
                <w:rFonts w:asciiTheme="minorHAnsi" w:hAnsiTheme="minorHAnsi" w:cstheme="minorHAnsi"/>
                <w:color w:val="000000"/>
                <w:szCs w:val="20"/>
              </w:rPr>
            </w:pPr>
            <w:r w:rsidRPr="008B711D">
              <w:rPr>
                <w:rFonts w:asciiTheme="minorHAnsi" w:hAnsiTheme="minorHAnsi" w:cstheme="minorHAnsi"/>
                <w:color w:val="000000"/>
                <w:szCs w:val="20"/>
              </w:rPr>
              <w:t>Inefficiency</w:t>
            </w:r>
            <w:r w:rsidR="00CD0FE9" w:rsidRPr="008B711D">
              <w:rPr>
                <w:rFonts w:asciiTheme="minorHAnsi" w:hAnsiTheme="minorHAnsi" w:cstheme="minorHAnsi"/>
                <w:color w:val="000000"/>
                <w:szCs w:val="20"/>
              </w:rPr>
              <w:t xml:space="preserve"> Variance (HRs) (B-A)</w:t>
            </w:r>
          </w:p>
        </w:tc>
        <w:tc>
          <w:tcPr>
            <w:tcW w:w="735" w:type="pct"/>
            <w:tcBorders>
              <w:top w:val="nil"/>
              <w:left w:val="nil"/>
              <w:bottom w:val="single" w:sz="4" w:space="0" w:color="auto"/>
              <w:right w:val="nil"/>
            </w:tcBorders>
            <w:noWrap/>
            <w:vAlign w:val="bottom"/>
            <w:hideMark/>
          </w:tcPr>
          <w:p w14:paraId="374229BF" w14:textId="77777777" w:rsidR="00CD0FE9" w:rsidRPr="008B711D" w:rsidRDefault="00CD0FE9" w:rsidP="00CD0FE9">
            <w:pPr>
              <w:jc w:val="left"/>
              <w:rPr>
                <w:rFonts w:asciiTheme="minorHAnsi" w:hAnsiTheme="minorHAnsi" w:cstheme="minorHAnsi"/>
                <w:color w:val="000000"/>
                <w:szCs w:val="20"/>
              </w:rPr>
            </w:pPr>
            <w:r w:rsidRPr="008B711D">
              <w:rPr>
                <w:rFonts w:asciiTheme="minorHAnsi" w:hAnsiTheme="minorHAnsi" w:cstheme="minorHAnsi"/>
                <w:color w:val="000000"/>
                <w:szCs w:val="20"/>
              </w:rPr>
              <w:t> </w:t>
            </w:r>
          </w:p>
        </w:tc>
        <w:tc>
          <w:tcPr>
            <w:tcW w:w="791" w:type="pct"/>
            <w:tcBorders>
              <w:top w:val="nil"/>
              <w:left w:val="nil"/>
              <w:bottom w:val="single" w:sz="4" w:space="0" w:color="auto"/>
              <w:right w:val="single" w:sz="4" w:space="0" w:color="auto"/>
            </w:tcBorders>
            <w:noWrap/>
            <w:vAlign w:val="bottom"/>
            <w:hideMark/>
          </w:tcPr>
          <w:p w14:paraId="004844AE"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 </w:t>
            </w:r>
          </w:p>
        </w:tc>
        <w:tc>
          <w:tcPr>
            <w:tcW w:w="878" w:type="pct"/>
            <w:tcBorders>
              <w:top w:val="nil"/>
              <w:left w:val="nil"/>
              <w:bottom w:val="single" w:sz="4" w:space="0" w:color="auto"/>
              <w:right w:val="single" w:sz="4" w:space="0" w:color="auto"/>
            </w:tcBorders>
            <w:noWrap/>
            <w:vAlign w:val="bottom"/>
            <w:hideMark/>
          </w:tcPr>
          <w:p w14:paraId="6F7F74D7"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0.91</w:t>
            </w:r>
          </w:p>
        </w:tc>
      </w:tr>
      <w:tr w:rsidR="005C613B" w:rsidRPr="008B711D" w14:paraId="3A7375C5" w14:textId="77777777" w:rsidTr="002E265D">
        <w:trPr>
          <w:trHeight w:val="188"/>
        </w:trPr>
        <w:tc>
          <w:tcPr>
            <w:tcW w:w="368" w:type="pct"/>
            <w:tcBorders>
              <w:top w:val="nil"/>
              <w:left w:val="single" w:sz="4" w:space="0" w:color="auto"/>
              <w:bottom w:val="single" w:sz="4" w:space="0" w:color="auto"/>
              <w:right w:val="single" w:sz="4" w:space="0" w:color="auto"/>
            </w:tcBorders>
            <w:noWrap/>
            <w:vAlign w:val="bottom"/>
            <w:hideMark/>
          </w:tcPr>
          <w:p w14:paraId="5E5B9BF9"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D</w:t>
            </w:r>
          </w:p>
        </w:tc>
        <w:tc>
          <w:tcPr>
            <w:tcW w:w="2228" w:type="pct"/>
            <w:tcBorders>
              <w:top w:val="nil"/>
              <w:left w:val="nil"/>
              <w:bottom w:val="single" w:sz="4" w:space="0" w:color="auto"/>
              <w:right w:val="nil"/>
            </w:tcBorders>
            <w:noWrap/>
            <w:vAlign w:val="bottom"/>
            <w:hideMark/>
          </w:tcPr>
          <w:p w14:paraId="7B7B9863" w14:textId="3EE5078D" w:rsidR="00CD0FE9" w:rsidRPr="008B711D" w:rsidRDefault="004039B8" w:rsidP="00CD0FE9">
            <w:pPr>
              <w:jc w:val="left"/>
              <w:rPr>
                <w:rFonts w:asciiTheme="minorHAnsi" w:hAnsiTheme="minorHAnsi" w:cstheme="minorHAnsi"/>
                <w:color w:val="000000"/>
                <w:szCs w:val="20"/>
              </w:rPr>
            </w:pPr>
            <w:r w:rsidRPr="008B711D">
              <w:rPr>
                <w:rFonts w:asciiTheme="minorHAnsi" w:hAnsiTheme="minorHAnsi" w:cstheme="minorHAnsi"/>
                <w:color w:val="000000"/>
                <w:szCs w:val="20"/>
              </w:rPr>
              <w:t>Inefficiency</w:t>
            </w:r>
            <w:r w:rsidR="00CD0FE9" w:rsidRPr="008B711D">
              <w:rPr>
                <w:rFonts w:asciiTheme="minorHAnsi" w:hAnsiTheme="minorHAnsi" w:cstheme="minorHAnsi"/>
                <w:color w:val="000000"/>
                <w:szCs w:val="20"/>
              </w:rPr>
              <w:t xml:space="preserve"> Rate (%) (C/A)</w:t>
            </w:r>
          </w:p>
        </w:tc>
        <w:tc>
          <w:tcPr>
            <w:tcW w:w="735" w:type="pct"/>
            <w:tcBorders>
              <w:top w:val="nil"/>
              <w:left w:val="nil"/>
              <w:bottom w:val="single" w:sz="4" w:space="0" w:color="auto"/>
              <w:right w:val="nil"/>
            </w:tcBorders>
            <w:noWrap/>
            <w:vAlign w:val="bottom"/>
            <w:hideMark/>
          </w:tcPr>
          <w:p w14:paraId="4F92149C" w14:textId="77777777" w:rsidR="00CD0FE9" w:rsidRPr="008B711D" w:rsidRDefault="00CD0FE9" w:rsidP="00CD0FE9">
            <w:pPr>
              <w:jc w:val="left"/>
              <w:rPr>
                <w:rFonts w:asciiTheme="minorHAnsi" w:hAnsiTheme="minorHAnsi" w:cstheme="minorHAnsi"/>
                <w:color w:val="000000"/>
                <w:szCs w:val="20"/>
              </w:rPr>
            </w:pPr>
            <w:r w:rsidRPr="008B711D">
              <w:rPr>
                <w:rFonts w:asciiTheme="minorHAnsi" w:hAnsiTheme="minorHAnsi" w:cstheme="minorHAnsi"/>
                <w:color w:val="000000"/>
                <w:szCs w:val="20"/>
              </w:rPr>
              <w:t> </w:t>
            </w:r>
          </w:p>
        </w:tc>
        <w:tc>
          <w:tcPr>
            <w:tcW w:w="791" w:type="pct"/>
            <w:tcBorders>
              <w:top w:val="nil"/>
              <w:left w:val="nil"/>
              <w:bottom w:val="single" w:sz="4" w:space="0" w:color="auto"/>
              <w:right w:val="nil"/>
            </w:tcBorders>
            <w:noWrap/>
            <w:vAlign w:val="bottom"/>
            <w:hideMark/>
          </w:tcPr>
          <w:p w14:paraId="322D8E3F"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 </w:t>
            </w:r>
          </w:p>
        </w:tc>
        <w:tc>
          <w:tcPr>
            <w:tcW w:w="878" w:type="pct"/>
            <w:tcBorders>
              <w:top w:val="nil"/>
              <w:left w:val="single" w:sz="4" w:space="0" w:color="auto"/>
              <w:bottom w:val="single" w:sz="4" w:space="0" w:color="auto"/>
              <w:right w:val="single" w:sz="4" w:space="0" w:color="auto"/>
            </w:tcBorders>
            <w:noWrap/>
            <w:vAlign w:val="bottom"/>
            <w:hideMark/>
          </w:tcPr>
          <w:p w14:paraId="18B6DE1B"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99%</w:t>
            </w:r>
          </w:p>
        </w:tc>
      </w:tr>
      <w:tr w:rsidR="00DE429A" w:rsidRPr="008B711D" w14:paraId="2F2FF823" w14:textId="77777777" w:rsidTr="002E265D">
        <w:trPr>
          <w:trHeight w:val="152"/>
        </w:trPr>
        <w:tc>
          <w:tcPr>
            <w:tcW w:w="5000" w:type="pct"/>
            <w:gridSpan w:val="5"/>
            <w:tcBorders>
              <w:top w:val="single" w:sz="4" w:space="0" w:color="auto"/>
              <w:left w:val="single" w:sz="4" w:space="0" w:color="auto"/>
              <w:bottom w:val="single" w:sz="4" w:space="0" w:color="auto"/>
              <w:right w:val="single" w:sz="4" w:space="0" w:color="000000"/>
            </w:tcBorders>
            <w:noWrap/>
            <w:vAlign w:val="bottom"/>
            <w:hideMark/>
          </w:tcPr>
          <w:p w14:paraId="7A79D6BD" w14:textId="77777777" w:rsidR="00CD0FE9" w:rsidRPr="008B711D" w:rsidRDefault="00CD0FE9" w:rsidP="00CD0FE9">
            <w:pPr>
              <w:jc w:val="center"/>
              <w:rPr>
                <w:rFonts w:asciiTheme="minorHAnsi" w:hAnsiTheme="minorHAnsi" w:cstheme="minorHAnsi"/>
                <w:b/>
                <w:bCs/>
                <w:color w:val="000000"/>
                <w:szCs w:val="20"/>
              </w:rPr>
            </w:pPr>
            <w:r w:rsidRPr="008B711D">
              <w:rPr>
                <w:rFonts w:asciiTheme="minorHAnsi" w:hAnsiTheme="minorHAnsi" w:cstheme="minorHAnsi"/>
                <w:b/>
                <w:bCs/>
                <w:color w:val="000000"/>
                <w:szCs w:val="20"/>
              </w:rPr>
              <w:t>Loss of Productivity Equation</w:t>
            </w:r>
          </w:p>
        </w:tc>
      </w:tr>
      <w:tr w:rsidR="005C613B" w:rsidRPr="008B711D" w14:paraId="53AFCDC3" w14:textId="77777777" w:rsidTr="002E265D">
        <w:trPr>
          <w:trHeight w:val="197"/>
        </w:trPr>
        <w:tc>
          <w:tcPr>
            <w:tcW w:w="368" w:type="pct"/>
            <w:tcBorders>
              <w:top w:val="nil"/>
              <w:left w:val="single" w:sz="4" w:space="0" w:color="auto"/>
              <w:bottom w:val="single" w:sz="4" w:space="0" w:color="auto"/>
              <w:right w:val="single" w:sz="4" w:space="0" w:color="auto"/>
            </w:tcBorders>
            <w:noWrap/>
            <w:vAlign w:val="bottom"/>
            <w:hideMark/>
          </w:tcPr>
          <w:p w14:paraId="5E4F2AB5" w14:textId="77777777" w:rsidR="00CD0FE9" w:rsidRPr="008B711D" w:rsidRDefault="00CD0FE9" w:rsidP="00CD0FE9">
            <w:pPr>
              <w:jc w:val="center"/>
              <w:rPr>
                <w:rFonts w:asciiTheme="minorHAnsi" w:hAnsiTheme="minorHAnsi" w:cstheme="minorHAnsi"/>
                <w:b/>
                <w:bCs/>
                <w:color w:val="000000"/>
                <w:szCs w:val="20"/>
              </w:rPr>
            </w:pPr>
            <w:r w:rsidRPr="008B711D">
              <w:rPr>
                <w:rFonts w:asciiTheme="minorHAnsi" w:hAnsiTheme="minorHAnsi" w:cstheme="minorHAnsi"/>
                <w:b/>
                <w:bCs/>
                <w:color w:val="000000"/>
                <w:szCs w:val="20"/>
              </w:rPr>
              <w:t>Row</w:t>
            </w:r>
          </w:p>
        </w:tc>
        <w:tc>
          <w:tcPr>
            <w:tcW w:w="2228" w:type="pct"/>
            <w:tcBorders>
              <w:top w:val="nil"/>
              <w:left w:val="nil"/>
              <w:bottom w:val="single" w:sz="4" w:space="0" w:color="auto"/>
              <w:right w:val="nil"/>
            </w:tcBorders>
            <w:noWrap/>
            <w:vAlign w:val="bottom"/>
            <w:hideMark/>
          </w:tcPr>
          <w:p w14:paraId="1E265359" w14:textId="77777777" w:rsidR="00CD0FE9" w:rsidRPr="008B711D" w:rsidRDefault="00CD0FE9" w:rsidP="00CD0FE9">
            <w:pPr>
              <w:jc w:val="left"/>
              <w:rPr>
                <w:rFonts w:asciiTheme="minorHAnsi" w:hAnsiTheme="minorHAnsi" w:cstheme="minorHAnsi"/>
                <w:b/>
                <w:bCs/>
                <w:color w:val="000000"/>
                <w:szCs w:val="20"/>
              </w:rPr>
            </w:pPr>
            <w:r w:rsidRPr="008B711D">
              <w:rPr>
                <w:rFonts w:asciiTheme="minorHAnsi" w:hAnsiTheme="minorHAnsi" w:cstheme="minorHAnsi"/>
                <w:b/>
                <w:bCs/>
                <w:color w:val="000000"/>
                <w:szCs w:val="20"/>
              </w:rPr>
              <w:t>Metric</w:t>
            </w:r>
          </w:p>
        </w:tc>
        <w:tc>
          <w:tcPr>
            <w:tcW w:w="735" w:type="pct"/>
            <w:tcBorders>
              <w:top w:val="nil"/>
              <w:left w:val="nil"/>
              <w:bottom w:val="single" w:sz="4" w:space="0" w:color="auto"/>
              <w:right w:val="nil"/>
            </w:tcBorders>
            <w:noWrap/>
            <w:vAlign w:val="bottom"/>
            <w:hideMark/>
          </w:tcPr>
          <w:p w14:paraId="3F583EE5" w14:textId="77777777" w:rsidR="00CD0FE9" w:rsidRPr="008B711D" w:rsidRDefault="00CD0FE9" w:rsidP="00CD0FE9">
            <w:pPr>
              <w:jc w:val="center"/>
              <w:rPr>
                <w:rFonts w:asciiTheme="minorHAnsi" w:hAnsiTheme="minorHAnsi" w:cstheme="minorHAnsi"/>
                <w:b/>
                <w:bCs/>
                <w:color w:val="000000"/>
                <w:szCs w:val="20"/>
              </w:rPr>
            </w:pPr>
            <w:r w:rsidRPr="008B711D">
              <w:rPr>
                <w:rFonts w:asciiTheme="minorHAnsi" w:hAnsiTheme="minorHAnsi" w:cstheme="minorHAnsi"/>
                <w:b/>
                <w:bCs/>
                <w:color w:val="000000"/>
                <w:szCs w:val="20"/>
              </w:rPr>
              <w:t> </w:t>
            </w:r>
          </w:p>
        </w:tc>
        <w:tc>
          <w:tcPr>
            <w:tcW w:w="791" w:type="pct"/>
            <w:tcBorders>
              <w:top w:val="nil"/>
              <w:left w:val="nil"/>
              <w:bottom w:val="single" w:sz="4" w:space="0" w:color="auto"/>
              <w:right w:val="nil"/>
            </w:tcBorders>
            <w:noWrap/>
            <w:vAlign w:val="bottom"/>
            <w:hideMark/>
          </w:tcPr>
          <w:p w14:paraId="3771AE8F" w14:textId="77777777" w:rsidR="00CD0FE9" w:rsidRPr="008B711D" w:rsidRDefault="00CD0FE9" w:rsidP="00CD0FE9">
            <w:pPr>
              <w:jc w:val="center"/>
              <w:rPr>
                <w:rFonts w:asciiTheme="minorHAnsi" w:hAnsiTheme="minorHAnsi" w:cstheme="minorHAnsi"/>
                <w:b/>
                <w:bCs/>
                <w:color w:val="000000"/>
                <w:szCs w:val="20"/>
              </w:rPr>
            </w:pPr>
            <w:r w:rsidRPr="008B711D">
              <w:rPr>
                <w:rFonts w:asciiTheme="minorHAnsi" w:hAnsiTheme="minorHAnsi" w:cstheme="minorHAnsi"/>
                <w:b/>
                <w:bCs/>
                <w:color w:val="000000"/>
                <w:szCs w:val="20"/>
              </w:rPr>
              <w:t> </w:t>
            </w:r>
          </w:p>
        </w:tc>
        <w:tc>
          <w:tcPr>
            <w:tcW w:w="878" w:type="pct"/>
            <w:tcBorders>
              <w:top w:val="nil"/>
              <w:left w:val="single" w:sz="4" w:space="0" w:color="auto"/>
              <w:bottom w:val="single" w:sz="4" w:space="0" w:color="auto"/>
              <w:right w:val="single" w:sz="4" w:space="0" w:color="auto"/>
            </w:tcBorders>
            <w:noWrap/>
            <w:vAlign w:val="bottom"/>
            <w:hideMark/>
          </w:tcPr>
          <w:p w14:paraId="1F4275D9" w14:textId="77777777" w:rsidR="00CD0FE9" w:rsidRPr="008B711D" w:rsidRDefault="00CD0FE9" w:rsidP="00CD0FE9">
            <w:pPr>
              <w:jc w:val="center"/>
              <w:rPr>
                <w:rFonts w:asciiTheme="minorHAnsi" w:hAnsiTheme="minorHAnsi" w:cstheme="minorHAnsi"/>
                <w:b/>
                <w:bCs/>
                <w:color w:val="000000"/>
                <w:szCs w:val="20"/>
              </w:rPr>
            </w:pPr>
            <w:r w:rsidRPr="008B711D">
              <w:rPr>
                <w:rFonts w:asciiTheme="minorHAnsi" w:hAnsiTheme="minorHAnsi" w:cstheme="minorHAnsi"/>
                <w:b/>
                <w:bCs/>
                <w:color w:val="000000"/>
                <w:szCs w:val="20"/>
              </w:rPr>
              <w:t>Hrs/Rate/Loss</w:t>
            </w:r>
          </w:p>
        </w:tc>
      </w:tr>
      <w:tr w:rsidR="005C613B" w:rsidRPr="008B711D" w14:paraId="19B83B34" w14:textId="77777777" w:rsidTr="002E265D">
        <w:trPr>
          <w:trHeight w:val="161"/>
        </w:trPr>
        <w:tc>
          <w:tcPr>
            <w:tcW w:w="368" w:type="pct"/>
            <w:tcBorders>
              <w:top w:val="nil"/>
              <w:left w:val="single" w:sz="4" w:space="0" w:color="auto"/>
              <w:bottom w:val="single" w:sz="4" w:space="0" w:color="auto"/>
              <w:right w:val="nil"/>
            </w:tcBorders>
            <w:noWrap/>
            <w:vAlign w:val="bottom"/>
            <w:hideMark/>
          </w:tcPr>
          <w:p w14:paraId="1A759A11"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E</w:t>
            </w:r>
          </w:p>
        </w:tc>
        <w:tc>
          <w:tcPr>
            <w:tcW w:w="2228" w:type="pct"/>
            <w:tcBorders>
              <w:top w:val="nil"/>
              <w:left w:val="single" w:sz="4" w:space="0" w:color="auto"/>
              <w:bottom w:val="single" w:sz="4" w:space="0" w:color="auto"/>
              <w:right w:val="nil"/>
            </w:tcBorders>
            <w:noWrap/>
            <w:vAlign w:val="bottom"/>
            <w:hideMark/>
          </w:tcPr>
          <w:p w14:paraId="2CA44B0E" w14:textId="77777777" w:rsidR="00CD0FE9" w:rsidRPr="008B711D" w:rsidRDefault="00CD0FE9" w:rsidP="00CD0FE9">
            <w:pPr>
              <w:jc w:val="left"/>
              <w:rPr>
                <w:rFonts w:asciiTheme="minorHAnsi" w:hAnsiTheme="minorHAnsi" w:cstheme="minorHAnsi"/>
                <w:color w:val="000000"/>
                <w:szCs w:val="20"/>
              </w:rPr>
            </w:pPr>
            <w:r w:rsidRPr="008B711D">
              <w:rPr>
                <w:rFonts w:asciiTheme="minorHAnsi" w:hAnsiTheme="minorHAnsi" w:cstheme="minorHAnsi"/>
                <w:color w:val="000000"/>
                <w:szCs w:val="20"/>
              </w:rPr>
              <w:t>Lost Hours (</w:t>
            </w:r>
            <w:proofErr w:type="spellStart"/>
            <w:r w:rsidRPr="008B711D">
              <w:rPr>
                <w:rFonts w:asciiTheme="minorHAnsi" w:hAnsiTheme="minorHAnsi" w:cstheme="minorHAnsi"/>
                <w:color w:val="000000"/>
                <w:szCs w:val="20"/>
              </w:rPr>
              <w:t>BxC</w:t>
            </w:r>
            <w:proofErr w:type="spellEnd"/>
            <w:r w:rsidRPr="008B711D">
              <w:rPr>
                <w:rFonts w:asciiTheme="minorHAnsi" w:hAnsiTheme="minorHAnsi" w:cstheme="minorHAnsi"/>
                <w:color w:val="000000"/>
                <w:szCs w:val="20"/>
              </w:rPr>
              <w:t>)</w:t>
            </w:r>
          </w:p>
        </w:tc>
        <w:tc>
          <w:tcPr>
            <w:tcW w:w="735" w:type="pct"/>
            <w:tcBorders>
              <w:top w:val="nil"/>
              <w:left w:val="nil"/>
              <w:bottom w:val="single" w:sz="4" w:space="0" w:color="auto"/>
              <w:right w:val="nil"/>
            </w:tcBorders>
            <w:noWrap/>
            <w:vAlign w:val="bottom"/>
            <w:hideMark/>
          </w:tcPr>
          <w:p w14:paraId="35E01980" w14:textId="77777777" w:rsidR="00CD0FE9" w:rsidRPr="008B711D" w:rsidRDefault="00CD0FE9" w:rsidP="00CD0FE9">
            <w:pPr>
              <w:jc w:val="left"/>
              <w:rPr>
                <w:rFonts w:asciiTheme="minorHAnsi" w:hAnsiTheme="minorHAnsi" w:cstheme="minorHAnsi"/>
                <w:color w:val="000000"/>
                <w:szCs w:val="20"/>
              </w:rPr>
            </w:pPr>
            <w:r w:rsidRPr="008B711D">
              <w:rPr>
                <w:rFonts w:asciiTheme="minorHAnsi" w:hAnsiTheme="minorHAnsi" w:cstheme="minorHAnsi"/>
                <w:color w:val="000000"/>
                <w:szCs w:val="20"/>
              </w:rPr>
              <w:t> </w:t>
            </w:r>
          </w:p>
        </w:tc>
        <w:tc>
          <w:tcPr>
            <w:tcW w:w="791" w:type="pct"/>
            <w:tcBorders>
              <w:top w:val="nil"/>
              <w:left w:val="nil"/>
              <w:bottom w:val="single" w:sz="4" w:space="0" w:color="auto"/>
              <w:right w:val="single" w:sz="4" w:space="0" w:color="auto"/>
            </w:tcBorders>
            <w:noWrap/>
            <w:vAlign w:val="bottom"/>
            <w:hideMark/>
          </w:tcPr>
          <w:p w14:paraId="713F0CED" w14:textId="77777777" w:rsidR="00CD0FE9" w:rsidRPr="008B711D" w:rsidRDefault="00CD0FE9" w:rsidP="00CD0FE9">
            <w:pPr>
              <w:jc w:val="left"/>
              <w:rPr>
                <w:rFonts w:asciiTheme="minorHAnsi" w:hAnsiTheme="minorHAnsi" w:cstheme="minorHAnsi"/>
                <w:color w:val="000000"/>
                <w:szCs w:val="20"/>
              </w:rPr>
            </w:pPr>
            <w:r w:rsidRPr="008B711D">
              <w:rPr>
                <w:rFonts w:asciiTheme="minorHAnsi" w:hAnsiTheme="minorHAnsi" w:cstheme="minorHAnsi"/>
                <w:color w:val="000000"/>
                <w:szCs w:val="20"/>
              </w:rPr>
              <w:t> </w:t>
            </w:r>
          </w:p>
        </w:tc>
        <w:tc>
          <w:tcPr>
            <w:tcW w:w="878" w:type="pct"/>
            <w:tcBorders>
              <w:top w:val="nil"/>
              <w:left w:val="nil"/>
              <w:bottom w:val="single" w:sz="4" w:space="0" w:color="auto"/>
              <w:right w:val="single" w:sz="4" w:space="0" w:color="auto"/>
            </w:tcBorders>
            <w:noWrap/>
            <w:vAlign w:val="bottom"/>
            <w:hideMark/>
          </w:tcPr>
          <w:p w14:paraId="1ADFE09A" w14:textId="51108C5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12,338.46</w:t>
            </w:r>
          </w:p>
        </w:tc>
      </w:tr>
      <w:tr w:rsidR="005C613B" w:rsidRPr="008B711D" w14:paraId="4758CA92" w14:textId="77777777" w:rsidTr="002E265D">
        <w:trPr>
          <w:trHeight w:val="125"/>
        </w:trPr>
        <w:tc>
          <w:tcPr>
            <w:tcW w:w="368" w:type="pct"/>
            <w:tcBorders>
              <w:top w:val="nil"/>
              <w:left w:val="single" w:sz="4" w:space="0" w:color="auto"/>
              <w:bottom w:val="single" w:sz="4" w:space="0" w:color="auto"/>
              <w:right w:val="nil"/>
            </w:tcBorders>
            <w:noWrap/>
            <w:vAlign w:val="bottom"/>
            <w:hideMark/>
          </w:tcPr>
          <w:p w14:paraId="4BC409C4"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F</w:t>
            </w:r>
          </w:p>
        </w:tc>
        <w:tc>
          <w:tcPr>
            <w:tcW w:w="2228" w:type="pct"/>
            <w:tcBorders>
              <w:top w:val="nil"/>
              <w:left w:val="single" w:sz="4" w:space="0" w:color="auto"/>
              <w:bottom w:val="nil"/>
              <w:right w:val="nil"/>
            </w:tcBorders>
            <w:noWrap/>
            <w:vAlign w:val="bottom"/>
            <w:hideMark/>
          </w:tcPr>
          <w:p w14:paraId="3AB76FCE" w14:textId="77777777" w:rsidR="00CD0FE9" w:rsidRPr="008B711D" w:rsidRDefault="00CD0FE9" w:rsidP="00CD0FE9">
            <w:pPr>
              <w:jc w:val="left"/>
              <w:rPr>
                <w:rFonts w:asciiTheme="minorHAnsi" w:hAnsiTheme="minorHAnsi" w:cstheme="minorHAnsi"/>
                <w:color w:val="000000"/>
                <w:szCs w:val="20"/>
              </w:rPr>
            </w:pPr>
            <w:r w:rsidRPr="008B711D">
              <w:rPr>
                <w:rFonts w:asciiTheme="minorHAnsi" w:hAnsiTheme="minorHAnsi" w:cstheme="minorHAnsi"/>
                <w:color w:val="000000"/>
                <w:szCs w:val="20"/>
              </w:rPr>
              <w:t>Labor Rate</w:t>
            </w:r>
          </w:p>
        </w:tc>
        <w:tc>
          <w:tcPr>
            <w:tcW w:w="735" w:type="pct"/>
            <w:tcBorders>
              <w:top w:val="nil"/>
              <w:left w:val="nil"/>
              <w:bottom w:val="nil"/>
              <w:right w:val="nil"/>
            </w:tcBorders>
            <w:noWrap/>
            <w:vAlign w:val="bottom"/>
            <w:hideMark/>
          </w:tcPr>
          <w:p w14:paraId="2A49163E" w14:textId="77777777" w:rsidR="00CD0FE9" w:rsidRPr="008B711D" w:rsidRDefault="00CD0FE9" w:rsidP="00CD0FE9">
            <w:pPr>
              <w:jc w:val="left"/>
              <w:rPr>
                <w:rFonts w:asciiTheme="minorHAnsi" w:hAnsiTheme="minorHAnsi" w:cstheme="minorHAnsi"/>
                <w:color w:val="000000"/>
                <w:szCs w:val="20"/>
              </w:rPr>
            </w:pPr>
            <w:r w:rsidRPr="008B711D">
              <w:rPr>
                <w:rFonts w:asciiTheme="minorHAnsi" w:hAnsiTheme="minorHAnsi" w:cstheme="minorHAnsi"/>
                <w:color w:val="000000"/>
                <w:szCs w:val="20"/>
              </w:rPr>
              <w:t> </w:t>
            </w:r>
          </w:p>
        </w:tc>
        <w:tc>
          <w:tcPr>
            <w:tcW w:w="791" w:type="pct"/>
            <w:tcBorders>
              <w:top w:val="nil"/>
              <w:left w:val="nil"/>
              <w:bottom w:val="nil"/>
              <w:right w:val="single" w:sz="4" w:space="0" w:color="auto"/>
            </w:tcBorders>
            <w:noWrap/>
            <w:vAlign w:val="bottom"/>
            <w:hideMark/>
          </w:tcPr>
          <w:p w14:paraId="50E70B49"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 </w:t>
            </w:r>
          </w:p>
        </w:tc>
        <w:tc>
          <w:tcPr>
            <w:tcW w:w="878" w:type="pct"/>
            <w:tcBorders>
              <w:top w:val="nil"/>
              <w:left w:val="nil"/>
              <w:bottom w:val="single" w:sz="4" w:space="0" w:color="auto"/>
              <w:right w:val="single" w:sz="4" w:space="0" w:color="auto"/>
            </w:tcBorders>
            <w:noWrap/>
            <w:vAlign w:val="bottom"/>
            <w:hideMark/>
          </w:tcPr>
          <w:p w14:paraId="4AA8C34A" w14:textId="7AAA289E"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 xml:space="preserve"> $85.20 </w:t>
            </w:r>
          </w:p>
        </w:tc>
      </w:tr>
      <w:tr w:rsidR="007D2200" w:rsidRPr="008B711D" w14:paraId="1524A5B9" w14:textId="77777777" w:rsidTr="002E265D">
        <w:trPr>
          <w:trHeight w:val="170"/>
        </w:trPr>
        <w:tc>
          <w:tcPr>
            <w:tcW w:w="368" w:type="pct"/>
            <w:tcBorders>
              <w:top w:val="nil"/>
              <w:left w:val="single" w:sz="4" w:space="0" w:color="auto"/>
              <w:bottom w:val="single" w:sz="4" w:space="0" w:color="auto"/>
              <w:right w:val="nil"/>
            </w:tcBorders>
            <w:noWrap/>
            <w:vAlign w:val="bottom"/>
            <w:hideMark/>
          </w:tcPr>
          <w:p w14:paraId="346010F7"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G</w:t>
            </w:r>
          </w:p>
        </w:tc>
        <w:tc>
          <w:tcPr>
            <w:tcW w:w="2963" w:type="pct"/>
            <w:gridSpan w:val="2"/>
            <w:tcBorders>
              <w:top w:val="single" w:sz="4" w:space="0" w:color="auto"/>
              <w:left w:val="single" w:sz="4" w:space="0" w:color="auto"/>
              <w:bottom w:val="single" w:sz="4" w:space="0" w:color="auto"/>
              <w:right w:val="nil"/>
            </w:tcBorders>
            <w:noWrap/>
            <w:vAlign w:val="bottom"/>
            <w:hideMark/>
          </w:tcPr>
          <w:p w14:paraId="6477A9F9" w14:textId="77777777" w:rsidR="00CD0FE9" w:rsidRPr="008B711D" w:rsidRDefault="00CD0FE9" w:rsidP="00CD0FE9">
            <w:pPr>
              <w:jc w:val="left"/>
              <w:rPr>
                <w:rFonts w:asciiTheme="minorHAnsi" w:hAnsiTheme="minorHAnsi" w:cstheme="minorHAnsi"/>
                <w:color w:val="000000"/>
                <w:szCs w:val="20"/>
              </w:rPr>
            </w:pPr>
            <w:r w:rsidRPr="008B711D">
              <w:rPr>
                <w:rFonts w:asciiTheme="minorHAnsi" w:hAnsiTheme="minorHAnsi" w:cstheme="minorHAnsi"/>
                <w:color w:val="000000"/>
                <w:szCs w:val="20"/>
              </w:rPr>
              <w:t>Measured Mile Loss of Productivity ($) (ExF)</w:t>
            </w:r>
          </w:p>
        </w:tc>
        <w:tc>
          <w:tcPr>
            <w:tcW w:w="791" w:type="pct"/>
            <w:tcBorders>
              <w:top w:val="single" w:sz="4" w:space="0" w:color="auto"/>
              <w:left w:val="nil"/>
              <w:bottom w:val="single" w:sz="4" w:space="0" w:color="auto"/>
              <w:right w:val="single" w:sz="4" w:space="0" w:color="auto"/>
            </w:tcBorders>
            <w:noWrap/>
            <w:vAlign w:val="bottom"/>
            <w:hideMark/>
          </w:tcPr>
          <w:p w14:paraId="5DC091EB" w14:textId="77777777"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 </w:t>
            </w:r>
          </w:p>
        </w:tc>
        <w:tc>
          <w:tcPr>
            <w:tcW w:w="878" w:type="pct"/>
            <w:tcBorders>
              <w:top w:val="nil"/>
              <w:left w:val="nil"/>
              <w:bottom w:val="single" w:sz="4" w:space="0" w:color="auto"/>
              <w:right w:val="single" w:sz="4" w:space="0" w:color="auto"/>
            </w:tcBorders>
            <w:noWrap/>
            <w:vAlign w:val="bottom"/>
            <w:hideMark/>
          </w:tcPr>
          <w:p w14:paraId="3FAAC3C1" w14:textId="313ECB78" w:rsidR="00CD0FE9" w:rsidRPr="008B711D" w:rsidRDefault="00CD0FE9" w:rsidP="00CD0FE9">
            <w:pPr>
              <w:jc w:val="center"/>
              <w:rPr>
                <w:rFonts w:asciiTheme="minorHAnsi" w:hAnsiTheme="minorHAnsi" w:cstheme="minorHAnsi"/>
                <w:color w:val="000000"/>
                <w:szCs w:val="20"/>
              </w:rPr>
            </w:pPr>
            <w:r w:rsidRPr="008B711D">
              <w:rPr>
                <w:rFonts w:asciiTheme="minorHAnsi" w:hAnsiTheme="minorHAnsi" w:cstheme="minorHAnsi"/>
                <w:color w:val="000000"/>
                <w:szCs w:val="20"/>
              </w:rPr>
              <w:t xml:space="preserve"> $1,051,236.92 </w:t>
            </w:r>
          </w:p>
        </w:tc>
      </w:tr>
    </w:tbl>
    <w:p w14:paraId="477987CE" w14:textId="77777777" w:rsidR="00984854" w:rsidRPr="00A80A97" w:rsidRDefault="00984854" w:rsidP="00A61DB9"/>
    <w:p w14:paraId="79CD8199" w14:textId="12536A84" w:rsidR="00F63E8B" w:rsidRDefault="000216D3" w:rsidP="000C40D0">
      <w:pPr>
        <w:pStyle w:val="Heading3"/>
      </w:pPr>
      <w:bookmarkStart w:id="13" w:name="_Toc222041024"/>
      <w:r>
        <w:t xml:space="preserve">Appropriate Use of </w:t>
      </w:r>
      <w:r w:rsidR="000C40D0" w:rsidRPr="00A80A97">
        <w:t>Measure</w:t>
      </w:r>
      <w:r w:rsidR="008B711D">
        <w:t>d</w:t>
      </w:r>
      <w:r w:rsidR="000C40D0" w:rsidRPr="00A80A97">
        <w:t xml:space="preserve"> Mile Methodology</w:t>
      </w:r>
      <w:bookmarkEnd w:id="13"/>
    </w:p>
    <w:p w14:paraId="7A64ED4B" w14:textId="13075763" w:rsidR="008B711D" w:rsidRDefault="008B711D" w:rsidP="008B711D">
      <w:r>
        <w:t xml:space="preserve">The Measured Mile </w:t>
      </w:r>
      <w:r w:rsidR="00660EF7">
        <w:t>m</w:t>
      </w:r>
      <w:r>
        <w:t xml:space="preserve">ethodology is </w:t>
      </w:r>
      <w:r w:rsidR="002E265D">
        <w:t>often regarded</w:t>
      </w:r>
      <w:r>
        <w:t xml:space="preserve"> as the gold standard of inefficiency analyses because it is the most objective. With sufficient quality data, the analysis proves an unimpacted production rate for specific scope of work, or at least </w:t>
      </w:r>
      <w:r w:rsidR="00712CE3">
        <w:t>the</w:t>
      </w:r>
      <w:r>
        <w:t xml:space="preserve"> project as a whole. When the analysist can delineate between an unimpacted period and an impacted period, the difference in production or efficiency </w:t>
      </w:r>
      <w:r w:rsidR="00712CE3">
        <w:t xml:space="preserve">can </w:t>
      </w:r>
      <w:r>
        <w:t>objectively be calculated.</w:t>
      </w:r>
    </w:p>
    <w:p w14:paraId="0130CD8B" w14:textId="77777777" w:rsidR="008B711D" w:rsidRDefault="008B711D" w:rsidP="008B711D"/>
    <w:p w14:paraId="5B367511" w14:textId="3E076CD1" w:rsidR="008B711D" w:rsidRPr="008B711D" w:rsidRDefault="008B711D" w:rsidP="008B711D">
      <w:r>
        <w:t xml:space="preserve">While the most sought-after analysis, there are </w:t>
      </w:r>
      <w:r w:rsidR="000216D3">
        <w:t>times</w:t>
      </w:r>
      <w:r>
        <w:t xml:space="preserve"> </w:t>
      </w:r>
      <w:r w:rsidR="000216D3">
        <w:t xml:space="preserve">when the </w:t>
      </w:r>
      <w:r>
        <w:t>Measured Mile</w:t>
      </w:r>
      <w:r w:rsidR="000216D3">
        <w:t xml:space="preserve"> is not the best fit for a </w:t>
      </w:r>
      <w:r w:rsidR="004E06FF">
        <w:t>p</w:t>
      </w:r>
      <w:r w:rsidR="000216D3">
        <w:t>roject</w:t>
      </w:r>
      <w:r>
        <w:t>. For example, if the analyst cannot truly define an unimpacted period</w:t>
      </w:r>
      <w:r w:rsidR="004E06FF">
        <w:t xml:space="preserve"> (or area)</w:t>
      </w:r>
      <w:r>
        <w:t xml:space="preserve">, then the benchmark unimpacted period is clouded and not truly defined. In addition, if there are not accurate project records, then the input data is not as reliable. When quality input production data is available, an analysist my rely on a revenue based Measured Mile, which </w:t>
      </w:r>
      <w:r w:rsidR="00113C6E">
        <w:t>relies on modified</w:t>
      </w:r>
      <w:r w:rsidR="00113C6E">
        <w:rPr>
          <w:rStyle w:val="FootnoteReference"/>
        </w:rPr>
        <w:footnoteReference w:id="2"/>
      </w:r>
      <w:r w:rsidR="00113C6E">
        <w:t xml:space="preserve"> payment applications. Payment applications provide a fallback benchmark of production</w:t>
      </w:r>
      <w:r w:rsidR="00E24195">
        <w:t xml:space="preserve"> </w:t>
      </w:r>
      <w:r w:rsidR="00712CE3">
        <w:t xml:space="preserve">rate </w:t>
      </w:r>
      <w:r w:rsidR="00E24195">
        <w:t xml:space="preserve">in </w:t>
      </w:r>
      <w:r w:rsidR="00502632">
        <w:t>lieu</w:t>
      </w:r>
      <w:r w:rsidR="00E24195">
        <w:t xml:space="preserve"> of unit production rates.</w:t>
      </w:r>
    </w:p>
    <w:p w14:paraId="1AC4F6D0" w14:textId="7F7319A1" w:rsidR="00880D59" w:rsidRDefault="00880D59" w:rsidP="00961C0E">
      <w:pPr>
        <w:pStyle w:val="Heading3"/>
        <w:tabs>
          <w:tab w:val="left" w:pos="3240"/>
        </w:tabs>
      </w:pPr>
      <w:bookmarkStart w:id="14" w:name="_Toc222041025"/>
      <w:r w:rsidRPr="00A80A97">
        <w:t>Measure</w:t>
      </w:r>
      <w:r w:rsidR="008B711D">
        <w:t>d</w:t>
      </w:r>
      <w:r w:rsidRPr="00A80A97">
        <w:t xml:space="preserve"> Mile Methodology Results</w:t>
      </w:r>
      <w:bookmarkEnd w:id="14"/>
    </w:p>
    <w:p w14:paraId="6692F500" w14:textId="6D2299A8" w:rsidR="00712CE3" w:rsidRDefault="00A50034" w:rsidP="00712CE3">
      <w:r>
        <w:t xml:space="preserve">The table below </w:t>
      </w:r>
      <w:r w:rsidR="00B9314F">
        <w:t>presents the loss of productivity for the major impacted trades and</w:t>
      </w:r>
      <w:r w:rsidR="00C81BA4">
        <w:t xml:space="preserve"> the overall loss of productivity on the </w:t>
      </w:r>
      <w:r w:rsidR="00861941">
        <w:t>P</w:t>
      </w:r>
      <w:r w:rsidR="00C81BA4">
        <w:t xml:space="preserve">roject. As a whole, </w:t>
      </w:r>
      <w:r w:rsidR="00DF2DD0">
        <w:t xml:space="preserve">a </w:t>
      </w:r>
      <w:r w:rsidR="00C81BA4">
        <w:t xml:space="preserve">32% total loss of productivity </w:t>
      </w:r>
      <w:r w:rsidR="00DF2DD0">
        <w:t xml:space="preserve">was experienced </w:t>
      </w:r>
      <w:r w:rsidR="006912C0">
        <w:t xml:space="preserve">based upon the </w:t>
      </w:r>
      <w:r w:rsidR="00F2337F">
        <w:t>M</w:t>
      </w:r>
      <w:r w:rsidR="006912C0">
        <w:t xml:space="preserve">easured </w:t>
      </w:r>
      <w:r w:rsidR="00F2337F">
        <w:t>M</w:t>
      </w:r>
      <w:r w:rsidR="006912C0">
        <w:t xml:space="preserve">ile </w:t>
      </w:r>
      <w:r w:rsidR="00905D81">
        <w:t>m</w:t>
      </w:r>
      <w:r w:rsidR="006912C0">
        <w:t>ethodology</w:t>
      </w:r>
      <w:r w:rsidR="00B24A16">
        <w:t xml:space="preserve"> across all trades on the </w:t>
      </w:r>
      <w:r w:rsidR="002D48EE">
        <w:t>P</w:t>
      </w:r>
      <w:r w:rsidR="00B24A16">
        <w:t>roject</w:t>
      </w:r>
      <w:r w:rsidR="006912C0">
        <w:t xml:space="preserve">. The percentage represents the </w:t>
      </w:r>
      <w:r w:rsidR="005B22B0">
        <w:t xml:space="preserve">proportion of </w:t>
      </w:r>
      <w:r w:rsidR="00FD5DE9">
        <w:t>lost</w:t>
      </w:r>
      <w:r w:rsidR="005B22B0">
        <w:t xml:space="preserve"> productivity hours and anticipated hours</w:t>
      </w:r>
      <w:r w:rsidR="00257088">
        <w:t xml:space="preserve">, </w:t>
      </w:r>
      <w:r w:rsidR="00295262">
        <w:t>if</w:t>
      </w:r>
      <w:r w:rsidR="005B22B0">
        <w:t xml:space="preserve"> the scope </w:t>
      </w:r>
      <w:r w:rsidR="00295262">
        <w:t xml:space="preserve">had </w:t>
      </w:r>
      <w:r w:rsidR="005B22B0">
        <w:t>not been impacted.</w:t>
      </w:r>
      <w:r w:rsidR="001730D0">
        <w:t xml:space="preserve"> The </w:t>
      </w:r>
      <w:r w:rsidR="00A67556">
        <w:t xml:space="preserve">contributions </w:t>
      </w:r>
      <w:r w:rsidR="008757E5">
        <w:t>of each trade are weight</w:t>
      </w:r>
      <w:r w:rsidR="002D48EE">
        <w:t>ed</w:t>
      </w:r>
      <w:r w:rsidR="008757E5">
        <w:t xml:space="preserve"> based on </w:t>
      </w:r>
      <w:r w:rsidR="00664EBF">
        <w:t xml:space="preserve">the quantity of hours </w:t>
      </w:r>
      <w:r w:rsidR="00BE61B8">
        <w:t xml:space="preserve">expended in each trade, thus the </w:t>
      </w:r>
      <w:r w:rsidR="00294485">
        <w:t>32</w:t>
      </w:r>
      <w:r w:rsidR="00003DA9">
        <w:t xml:space="preserve">% is not </w:t>
      </w:r>
      <w:r w:rsidR="00ED1805">
        <w:t>an</w:t>
      </w:r>
      <w:r w:rsidR="00003DA9">
        <w:t xml:space="preserve"> </w:t>
      </w:r>
      <w:r w:rsidR="002D48EE">
        <w:t>equal average of the four trades.</w:t>
      </w:r>
    </w:p>
    <w:p w14:paraId="1042F5C1" w14:textId="77777777" w:rsidR="00660EF7" w:rsidRDefault="00660EF7" w:rsidP="00712CE3"/>
    <w:p w14:paraId="73DAB292" w14:textId="10CADED4" w:rsidR="00660EF7" w:rsidRPr="00A80A97" w:rsidRDefault="00660EF7" w:rsidP="00660EF7">
      <w:pPr>
        <w:keepNext/>
      </w:pPr>
      <w:r w:rsidRPr="00A80A97">
        <w:lastRenderedPageBreak/>
        <w:t xml:space="preserve">Table </w:t>
      </w:r>
      <w:r>
        <w:t>2</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AC7E8E" w14:paraId="385D7A78" w14:textId="77777777" w:rsidTr="00861941">
        <w:trPr>
          <w:tblHeader/>
        </w:trPr>
        <w:tc>
          <w:tcPr>
            <w:tcW w:w="1558" w:type="dxa"/>
            <w:vAlign w:val="center"/>
          </w:tcPr>
          <w:p w14:paraId="396B9FCE" w14:textId="06C88EF0" w:rsidR="006912C0" w:rsidRPr="00B21FA2" w:rsidRDefault="00B21FA2" w:rsidP="00595996">
            <w:pPr>
              <w:jc w:val="center"/>
              <w:rPr>
                <w:b/>
                <w:bCs/>
              </w:rPr>
            </w:pPr>
            <w:r w:rsidRPr="00B21FA2">
              <w:rPr>
                <w:b/>
                <w:bCs/>
              </w:rPr>
              <w:t>Methodology</w:t>
            </w:r>
          </w:p>
        </w:tc>
        <w:tc>
          <w:tcPr>
            <w:tcW w:w="1558" w:type="dxa"/>
            <w:vAlign w:val="center"/>
          </w:tcPr>
          <w:p w14:paraId="70DE783A" w14:textId="292FCC64" w:rsidR="006912C0" w:rsidRPr="00B21FA2" w:rsidRDefault="006912C0" w:rsidP="00595996">
            <w:pPr>
              <w:jc w:val="center"/>
              <w:rPr>
                <w:b/>
                <w:bCs/>
              </w:rPr>
            </w:pPr>
            <w:r w:rsidRPr="00B21FA2">
              <w:rPr>
                <w:b/>
                <w:bCs/>
              </w:rPr>
              <w:t>Electrical</w:t>
            </w:r>
          </w:p>
        </w:tc>
        <w:tc>
          <w:tcPr>
            <w:tcW w:w="1558" w:type="dxa"/>
            <w:vAlign w:val="center"/>
          </w:tcPr>
          <w:p w14:paraId="21B73378" w14:textId="69A43277" w:rsidR="006912C0" w:rsidRPr="00B21FA2" w:rsidRDefault="006912C0" w:rsidP="00595996">
            <w:pPr>
              <w:jc w:val="center"/>
              <w:rPr>
                <w:b/>
                <w:bCs/>
              </w:rPr>
            </w:pPr>
            <w:r w:rsidRPr="00B21FA2">
              <w:rPr>
                <w:b/>
                <w:bCs/>
              </w:rPr>
              <w:t>Large Equipment</w:t>
            </w:r>
          </w:p>
        </w:tc>
        <w:tc>
          <w:tcPr>
            <w:tcW w:w="1558" w:type="dxa"/>
            <w:vAlign w:val="center"/>
          </w:tcPr>
          <w:p w14:paraId="0C3E59BD" w14:textId="7DA80653" w:rsidR="006912C0" w:rsidRPr="00B21FA2" w:rsidRDefault="006912C0" w:rsidP="00595996">
            <w:pPr>
              <w:jc w:val="center"/>
              <w:rPr>
                <w:b/>
                <w:bCs/>
              </w:rPr>
            </w:pPr>
            <w:r w:rsidRPr="00B21FA2">
              <w:rPr>
                <w:b/>
                <w:bCs/>
              </w:rPr>
              <w:t>Mechanical Piping</w:t>
            </w:r>
          </w:p>
        </w:tc>
        <w:tc>
          <w:tcPr>
            <w:tcW w:w="1559" w:type="dxa"/>
            <w:vAlign w:val="center"/>
          </w:tcPr>
          <w:p w14:paraId="4F0564A7" w14:textId="3E2F3FB9" w:rsidR="006912C0" w:rsidRPr="00B21FA2" w:rsidRDefault="006912C0" w:rsidP="00595996">
            <w:pPr>
              <w:jc w:val="center"/>
              <w:rPr>
                <w:b/>
                <w:bCs/>
              </w:rPr>
            </w:pPr>
            <w:r w:rsidRPr="00B21FA2">
              <w:rPr>
                <w:b/>
                <w:bCs/>
              </w:rPr>
              <w:t>Structural Steel</w:t>
            </w:r>
          </w:p>
        </w:tc>
        <w:tc>
          <w:tcPr>
            <w:tcW w:w="1559" w:type="dxa"/>
            <w:vAlign w:val="center"/>
          </w:tcPr>
          <w:p w14:paraId="1CF32EF7" w14:textId="5D897823" w:rsidR="006912C0" w:rsidRPr="00B21FA2" w:rsidRDefault="006912C0" w:rsidP="00595996">
            <w:pPr>
              <w:jc w:val="center"/>
              <w:rPr>
                <w:b/>
                <w:bCs/>
              </w:rPr>
            </w:pPr>
            <w:r w:rsidRPr="00B21FA2">
              <w:rPr>
                <w:b/>
                <w:bCs/>
              </w:rPr>
              <w:t>All Scopes</w:t>
            </w:r>
          </w:p>
        </w:tc>
      </w:tr>
      <w:tr w:rsidR="00AC7E8E" w14:paraId="58E5BBE1" w14:textId="77777777" w:rsidTr="00595996">
        <w:tc>
          <w:tcPr>
            <w:tcW w:w="1558" w:type="dxa"/>
            <w:vAlign w:val="center"/>
          </w:tcPr>
          <w:p w14:paraId="75302508" w14:textId="13E2103D" w:rsidR="006912C0" w:rsidRDefault="006912C0" w:rsidP="00595996">
            <w:pPr>
              <w:jc w:val="center"/>
            </w:pPr>
            <w:r>
              <w:t>Measured Mile Loss of Productivity</w:t>
            </w:r>
          </w:p>
        </w:tc>
        <w:tc>
          <w:tcPr>
            <w:tcW w:w="1558" w:type="dxa"/>
            <w:vAlign w:val="center"/>
          </w:tcPr>
          <w:p w14:paraId="5309A322" w14:textId="267681EC" w:rsidR="006912C0" w:rsidRDefault="007140B2" w:rsidP="00595996">
            <w:pPr>
              <w:jc w:val="center"/>
            </w:pPr>
            <w:r>
              <w:t>33%</w:t>
            </w:r>
          </w:p>
        </w:tc>
        <w:tc>
          <w:tcPr>
            <w:tcW w:w="1558" w:type="dxa"/>
            <w:vAlign w:val="center"/>
          </w:tcPr>
          <w:p w14:paraId="33C439AD" w14:textId="281443CA" w:rsidR="006912C0" w:rsidRDefault="00B9314F" w:rsidP="00595996">
            <w:pPr>
              <w:jc w:val="center"/>
            </w:pPr>
            <w:r>
              <w:t>54%</w:t>
            </w:r>
          </w:p>
        </w:tc>
        <w:tc>
          <w:tcPr>
            <w:tcW w:w="1558" w:type="dxa"/>
            <w:vAlign w:val="center"/>
          </w:tcPr>
          <w:p w14:paraId="09E57206" w14:textId="29D76DB7" w:rsidR="006912C0" w:rsidRDefault="00B9314F" w:rsidP="00595996">
            <w:pPr>
              <w:jc w:val="center"/>
            </w:pPr>
            <w:r>
              <w:t>37%</w:t>
            </w:r>
          </w:p>
        </w:tc>
        <w:tc>
          <w:tcPr>
            <w:tcW w:w="1559" w:type="dxa"/>
            <w:vAlign w:val="center"/>
          </w:tcPr>
          <w:p w14:paraId="4254114B" w14:textId="003660F2" w:rsidR="006912C0" w:rsidRDefault="00B9314F" w:rsidP="00595996">
            <w:pPr>
              <w:jc w:val="center"/>
            </w:pPr>
            <w:r>
              <w:t>28%</w:t>
            </w:r>
          </w:p>
        </w:tc>
        <w:tc>
          <w:tcPr>
            <w:tcW w:w="1559" w:type="dxa"/>
            <w:vAlign w:val="center"/>
          </w:tcPr>
          <w:p w14:paraId="2E283E2B" w14:textId="6FB7C122" w:rsidR="006912C0" w:rsidRDefault="00B9314F" w:rsidP="00595996">
            <w:pPr>
              <w:jc w:val="center"/>
            </w:pPr>
            <w:r>
              <w:t>32%</w:t>
            </w:r>
          </w:p>
        </w:tc>
      </w:tr>
    </w:tbl>
    <w:p w14:paraId="15457B5F" w14:textId="77777777" w:rsidR="006912C0" w:rsidRPr="00712CE3" w:rsidRDefault="006912C0" w:rsidP="00712CE3"/>
    <w:p w14:paraId="3D3021AF" w14:textId="77777777" w:rsidR="00B16F8A" w:rsidRPr="00A80A97" w:rsidRDefault="00B16F8A" w:rsidP="00B16F8A">
      <w:pPr>
        <w:pStyle w:val="Heading2"/>
      </w:pPr>
      <w:bookmarkStart w:id="15" w:name="_Toc222041026"/>
      <w:r w:rsidRPr="00A80A97">
        <w:t>MCAA Model</w:t>
      </w:r>
      <w:bookmarkEnd w:id="15"/>
    </w:p>
    <w:p w14:paraId="7A890A91" w14:textId="77777777" w:rsidR="00B16F8A" w:rsidRPr="00A80A97" w:rsidRDefault="00B16F8A" w:rsidP="00B16F8A">
      <w:pPr>
        <w:pStyle w:val="Heading3"/>
      </w:pPr>
      <w:bookmarkStart w:id="16" w:name="_Toc222041027"/>
      <w:r w:rsidRPr="00A80A97">
        <w:t>MCAA Model Methodology Description</w:t>
      </w:r>
      <w:bookmarkEnd w:id="16"/>
    </w:p>
    <w:p w14:paraId="76674E44" w14:textId="4180B79E" w:rsidR="00B16F8A" w:rsidRPr="00A80A97" w:rsidRDefault="00B16F8A" w:rsidP="00B16F8A">
      <w:r w:rsidRPr="00A80A97">
        <w:t xml:space="preserve">The Mechanical Contractors Association of America (MCAA) </w:t>
      </w:r>
      <w:r w:rsidR="00905D81">
        <w:t>m</w:t>
      </w:r>
      <w:r w:rsidRPr="00A80A97">
        <w:t>ethodology</w:t>
      </w:r>
      <w:r w:rsidR="00476CE9" w:rsidRPr="00A80A97">
        <w:t xml:space="preserve"> </w:t>
      </w:r>
      <w:r w:rsidR="00633720" w:rsidRPr="00A80A97">
        <w:t xml:space="preserve">is </w:t>
      </w:r>
      <w:r w:rsidR="00712CE3">
        <w:t xml:space="preserve">often </w:t>
      </w:r>
      <w:r w:rsidR="00633720" w:rsidRPr="00A80A97">
        <w:t xml:space="preserve">utilized when an unimpacted period cannot be identified, thus </w:t>
      </w:r>
      <w:r w:rsidR="0095323F" w:rsidRPr="00A80A97">
        <w:t>impeding the ability to reasonably perform a Measured Mile Analysis. The MCAA</w:t>
      </w:r>
      <w:r w:rsidR="00EB7147" w:rsidRPr="00A80A97">
        <w:t xml:space="preserve"> </w:t>
      </w:r>
      <w:r w:rsidR="00905D81">
        <w:t>m</w:t>
      </w:r>
      <w:r w:rsidR="00EB7147" w:rsidRPr="00A80A97">
        <w:t>ethodo</w:t>
      </w:r>
      <w:r w:rsidR="00E40A92" w:rsidRPr="00A80A97">
        <w:t>logy factors in sixteen (16) different Impact Factors</w:t>
      </w:r>
      <w:r w:rsidR="00387B54" w:rsidRPr="00A80A97">
        <w:t xml:space="preserve"> that are listed below in Table </w:t>
      </w:r>
      <w:r w:rsidR="002D48EE">
        <w:t>3</w:t>
      </w:r>
      <w:r w:rsidR="00E40A92" w:rsidRPr="00A80A97">
        <w:t>.</w:t>
      </w:r>
    </w:p>
    <w:p w14:paraId="1E347E90" w14:textId="77777777" w:rsidR="003030DA" w:rsidRPr="00A80A97" w:rsidRDefault="003030DA" w:rsidP="00B16F8A"/>
    <w:p w14:paraId="26B7E4A3" w14:textId="30156B62" w:rsidR="00387B54" w:rsidRPr="00A80A97" w:rsidRDefault="003030DA" w:rsidP="002E265D">
      <w:r w:rsidRPr="00A80A97">
        <w:t xml:space="preserve">Table </w:t>
      </w:r>
      <w:r w:rsidR="00660EF7">
        <w:t>3</w:t>
      </w:r>
    </w:p>
    <w:tbl>
      <w:tblPr>
        <w:tblW w:w="5000" w:type="pct"/>
        <w:jc w:val="center"/>
        <w:tblLook w:val="04A0" w:firstRow="1" w:lastRow="0" w:firstColumn="1" w:lastColumn="0" w:noHBand="0" w:noVBand="1"/>
      </w:tblPr>
      <w:tblGrid>
        <w:gridCol w:w="4495"/>
        <w:gridCol w:w="4855"/>
      </w:tblGrid>
      <w:tr w:rsidR="001A4BAA" w:rsidRPr="006D2CC5" w14:paraId="2847D094" w14:textId="77777777" w:rsidTr="002E265D">
        <w:trPr>
          <w:trHeight w:val="300"/>
          <w:tblHeader/>
          <w:jc w:val="center"/>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001E5FA4" w14:textId="77777777" w:rsidR="00387B54" w:rsidRPr="00100E81" w:rsidRDefault="00387B54" w:rsidP="00387B54">
            <w:pPr>
              <w:jc w:val="center"/>
              <w:rPr>
                <w:rFonts w:asciiTheme="minorHAnsi" w:hAnsiTheme="minorHAnsi" w:cstheme="minorHAnsi"/>
                <w:b/>
                <w:bCs/>
                <w:color w:val="000000"/>
                <w:szCs w:val="20"/>
              </w:rPr>
            </w:pPr>
            <w:r w:rsidRPr="00100E81">
              <w:rPr>
                <w:rFonts w:asciiTheme="minorHAnsi" w:hAnsiTheme="minorHAnsi" w:cstheme="minorHAnsi"/>
                <w:b/>
                <w:bCs/>
                <w:color w:val="000000"/>
                <w:szCs w:val="20"/>
              </w:rPr>
              <w:t>MCAA Impact Factors</w:t>
            </w:r>
          </w:p>
        </w:tc>
      </w:tr>
      <w:tr w:rsidR="00AC7E8E" w:rsidRPr="006D2CC5" w14:paraId="3C29DA3A" w14:textId="77777777" w:rsidTr="002E265D">
        <w:trPr>
          <w:trHeight w:val="197"/>
          <w:jc w:val="center"/>
        </w:trPr>
        <w:tc>
          <w:tcPr>
            <w:tcW w:w="2404" w:type="pct"/>
            <w:tcBorders>
              <w:top w:val="nil"/>
              <w:left w:val="single" w:sz="4" w:space="0" w:color="auto"/>
              <w:bottom w:val="single" w:sz="4" w:space="0" w:color="auto"/>
              <w:right w:val="single" w:sz="4" w:space="0" w:color="auto"/>
            </w:tcBorders>
            <w:noWrap/>
            <w:vAlign w:val="bottom"/>
            <w:hideMark/>
          </w:tcPr>
          <w:p w14:paraId="66197880"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1. Stacking of Trades</w:t>
            </w:r>
          </w:p>
        </w:tc>
        <w:tc>
          <w:tcPr>
            <w:tcW w:w="2596" w:type="pct"/>
            <w:tcBorders>
              <w:top w:val="nil"/>
              <w:left w:val="nil"/>
              <w:bottom w:val="single" w:sz="4" w:space="0" w:color="auto"/>
              <w:right w:val="single" w:sz="4" w:space="0" w:color="auto"/>
            </w:tcBorders>
            <w:noWrap/>
            <w:vAlign w:val="bottom"/>
            <w:hideMark/>
          </w:tcPr>
          <w:p w14:paraId="7A30C606"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9. Beneficial Occupancy</w:t>
            </w:r>
          </w:p>
        </w:tc>
      </w:tr>
      <w:tr w:rsidR="00AC7E8E" w:rsidRPr="006D2CC5" w14:paraId="4537CB38" w14:textId="77777777" w:rsidTr="002E265D">
        <w:trPr>
          <w:trHeight w:val="98"/>
          <w:jc w:val="center"/>
        </w:trPr>
        <w:tc>
          <w:tcPr>
            <w:tcW w:w="2404" w:type="pct"/>
            <w:tcBorders>
              <w:top w:val="nil"/>
              <w:left w:val="single" w:sz="4" w:space="0" w:color="auto"/>
              <w:bottom w:val="single" w:sz="4" w:space="0" w:color="auto"/>
              <w:right w:val="single" w:sz="4" w:space="0" w:color="auto"/>
            </w:tcBorders>
            <w:noWrap/>
            <w:vAlign w:val="bottom"/>
            <w:hideMark/>
          </w:tcPr>
          <w:p w14:paraId="2CA5BB43" w14:textId="5B482F2B"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2. Morale and Attitude</w:t>
            </w:r>
          </w:p>
        </w:tc>
        <w:tc>
          <w:tcPr>
            <w:tcW w:w="2596" w:type="pct"/>
            <w:tcBorders>
              <w:top w:val="nil"/>
              <w:left w:val="nil"/>
              <w:bottom w:val="single" w:sz="4" w:space="0" w:color="auto"/>
              <w:right w:val="single" w:sz="4" w:space="0" w:color="auto"/>
            </w:tcBorders>
            <w:noWrap/>
            <w:vAlign w:val="bottom"/>
            <w:hideMark/>
          </w:tcPr>
          <w:p w14:paraId="6D0DCB29"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10. Joint Occupancy</w:t>
            </w:r>
          </w:p>
        </w:tc>
      </w:tr>
      <w:tr w:rsidR="00AC7E8E" w:rsidRPr="006D2CC5" w14:paraId="2E619EA9" w14:textId="77777777" w:rsidTr="002E265D">
        <w:trPr>
          <w:trHeight w:val="179"/>
          <w:jc w:val="center"/>
        </w:trPr>
        <w:tc>
          <w:tcPr>
            <w:tcW w:w="2404" w:type="pct"/>
            <w:tcBorders>
              <w:top w:val="nil"/>
              <w:left w:val="single" w:sz="4" w:space="0" w:color="auto"/>
              <w:bottom w:val="single" w:sz="4" w:space="0" w:color="auto"/>
              <w:right w:val="single" w:sz="4" w:space="0" w:color="auto"/>
            </w:tcBorders>
            <w:noWrap/>
            <w:vAlign w:val="bottom"/>
            <w:hideMark/>
          </w:tcPr>
          <w:p w14:paraId="087C0FC5"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3. Reassignment of Manpower</w:t>
            </w:r>
          </w:p>
        </w:tc>
        <w:tc>
          <w:tcPr>
            <w:tcW w:w="2596" w:type="pct"/>
            <w:tcBorders>
              <w:top w:val="nil"/>
              <w:left w:val="nil"/>
              <w:bottom w:val="single" w:sz="4" w:space="0" w:color="auto"/>
              <w:right w:val="single" w:sz="4" w:space="0" w:color="auto"/>
            </w:tcBorders>
            <w:noWrap/>
            <w:vAlign w:val="bottom"/>
            <w:hideMark/>
          </w:tcPr>
          <w:p w14:paraId="1A75A5AD"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11. Site Access</w:t>
            </w:r>
          </w:p>
        </w:tc>
      </w:tr>
      <w:tr w:rsidR="00AC7E8E" w:rsidRPr="006D2CC5" w14:paraId="6E16AE63" w14:textId="77777777" w:rsidTr="002E265D">
        <w:trPr>
          <w:trHeight w:val="300"/>
          <w:jc w:val="center"/>
        </w:trPr>
        <w:tc>
          <w:tcPr>
            <w:tcW w:w="2404" w:type="pct"/>
            <w:tcBorders>
              <w:top w:val="nil"/>
              <w:left w:val="single" w:sz="4" w:space="0" w:color="auto"/>
              <w:bottom w:val="single" w:sz="4" w:space="0" w:color="auto"/>
              <w:right w:val="single" w:sz="4" w:space="0" w:color="auto"/>
            </w:tcBorders>
            <w:noWrap/>
            <w:vAlign w:val="bottom"/>
            <w:hideMark/>
          </w:tcPr>
          <w:p w14:paraId="721097CD"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4. Crew Size Inefficiency</w:t>
            </w:r>
          </w:p>
        </w:tc>
        <w:tc>
          <w:tcPr>
            <w:tcW w:w="2596" w:type="pct"/>
            <w:tcBorders>
              <w:top w:val="nil"/>
              <w:left w:val="nil"/>
              <w:bottom w:val="single" w:sz="4" w:space="0" w:color="auto"/>
              <w:right w:val="single" w:sz="4" w:space="0" w:color="auto"/>
            </w:tcBorders>
            <w:noWrap/>
            <w:vAlign w:val="bottom"/>
            <w:hideMark/>
          </w:tcPr>
          <w:p w14:paraId="019C8E95"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12. Logistics</w:t>
            </w:r>
          </w:p>
        </w:tc>
      </w:tr>
      <w:tr w:rsidR="00AC7E8E" w:rsidRPr="006D2CC5" w14:paraId="37014135" w14:textId="77777777" w:rsidTr="002E265D">
        <w:trPr>
          <w:trHeight w:val="300"/>
          <w:jc w:val="center"/>
        </w:trPr>
        <w:tc>
          <w:tcPr>
            <w:tcW w:w="2404" w:type="pct"/>
            <w:tcBorders>
              <w:top w:val="nil"/>
              <w:left w:val="single" w:sz="4" w:space="0" w:color="auto"/>
              <w:bottom w:val="single" w:sz="4" w:space="0" w:color="auto"/>
              <w:right w:val="single" w:sz="4" w:space="0" w:color="auto"/>
            </w:tcBorders>
            <w:noWrap/>
            <w:vAlign w:val="bottom"/>
            <w:hideMark/>
          </w:tcPr>
          <w:p w14:paraId="772CF802"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5. Concurrent Operations</w:t>
            </w:r>
          </w:p>
        </w:tc>
        <w:tc>
          <w:tcPr>
            <w:tcW w:w="2596" w:type="pct"/>
            <w:tcBorders>
              <w:top w:val="nil"/>
              <w:left w:val="nil"/>
              <w:bottom w:val="single" w:sz="4" w:space="0" w:color="auto"/>
              <w:right w:val="single" w:sz="4" w:space="0" w:color="auto"/>
            </w:tcBorders>
            <w:noWrap/>
            <w:vAlign w:val="bottom"/>
            <w:hideMark/>
          </w:tcPr>
          <w:p w14:paraId="13336DA0"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13. Fatigue</w:t>
            </w:r>
          </w:p>
        </w:tc>
      </w:tr>
      <w:tr w:rsidR="00AC7E8E" w:rsidRPr="006D2CC5" w14:paraId="63D35E02" w14:textId="77777777" w:rsidTr="002E265D">
        <w:trPr>
          <w:trHeight w:val="300"/>
          <w:jc w:val="center"/>
        </w:trPr>
        <w:tc>
          <w:tcPr>
            <w:tcW w:w="2404" w:type="pct"/>
            <w:tcBorders>
              <w:top w:val="nil"/>
              <w:left w:val="single" w:sz="4" w:space="0" w:color="auto"/>
              <w:bottom w:val="single" w:sz="4" w:space="0" w:color="auto"/>
              <w:right w:val="single" w:sz="4" w:space="0" w:color="auto"/>
            </w:tcBorders>
            <w:noWrap/>
            <w:vAlign w:val="bottom"/>
            <w:hideMark/>
          </w:tcPr>
          <w:p w14:paraId="462F5CEE"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6. Dilution of Supervision</w:t>
            </w:r>
          </w:p>
        </w:tc>
        <w:tc>
          <w:tcPr>
            <w:tcW w:w="2596" w:type="pct"/>
            <w:tcBorders>
              <w:top w:val="nil"/>
              <w:left w:val="nil"/>
              <w:bottom w:val="single" w:sz="4" w:space="0" w:color="auto"/>
              <w:right w:val="single" w:sz="4" w:space="0" w:color="auto"/>
            </w:tcBorders>
            <w:noWrap/>
            <w:vAlign w:val="bottom"/>
            <w:hideMark/>
          </w:tcPr>
          <w:p w14:paraId="220CE5AA"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14. Ripple Effect</w:t>
            </w:r>
          </w:p>
        </w:tc>
      </w:tr>
      <w:tr w:rsidR="00AC7E8E" w:rsidRPr="006D2CC5" w14:paraId="5C7C022A" w14:textId="77777777" w:rsidTr="002E265D">
        <w:trPr>
          <w:trHeight w:val="300"/>
          <w:jc w:val="center"/>
        </w:trPr>
        <w:tc>
          <w:tcPr>
            <w:tcW w:w="2404" w:type="pct"/>
            <w:tcBorders>
              <w:top w:val="nil"/>
              <w:left w:val="single" w:sz="4" w:space="0" w:color="auto"/>
              <w:bottom w:val="single" w:sz="4" w:space="0" w:color="auto"/>
              <w:right w:val="single" w:sz="4" w:space="0" w:color="auto"/>
            </w:tcBorders>
            <w:noWrap/>
            <w:vAlign w:val="bottom"/>
            <w:hideMark/>
          </w:tcPr>
          <w:p w14:paraId="3ECA55DB"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7. Learning Curve</w:t>
            </w:r>
          </w:p>
        </w:tc>
        <w:tc>
          <w:tcPr>
            <w:tcW w:w="2596" w:type="pct"/>
            <w:tcBorders>
              <w:top w:val="nil"/>
              <w:left w:val="nil"/>
              <w:bottom w:val="single" w:sz="4" w:space="0" w:color="auto"/>
              <w:right w:val="single" w:sz="4" w:space="0" w:color="auto"/>
            </w:tcBorders>
            <w:noWrap/>
            <w:vAlign w:val="bottom"/>
            <w:hideMark/>
          </w:tcPr>
          <w:p w14:paraId="734C984F"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15. Overtime</w:t>
            </w:r>
          </w:p>
        </w:tc>
      </w:tr>
      <w:tr w:rsidR="00AC7E8E" w:rsidRPr="006D2CC5" w14:paraId="6A3C2588" w14:textId="77777777" w:rsidTr="002E265D">
        <w:trPr>
          <w:trHeight w:val="300"/>
          <w:jc w:val="center"/>
        </w:trPr>
        <w:tc>
          <w:tcPr>
            <w:tcW w:w="2404" w:type="pct"/>
            <w:tcBorders>
              <w:top w:val="nil"/>
              <w:left w:val="single" w:sz="4" w:space="0" w:color="auto"/>
              <w:bottom w:val="single" w:sz="4" w:space="0" w:color="auto"/>
              <w:right w:val="single" w:sz="4" w:space="0" w:color="auto"/>
            </w:tcBorders>
            <w:noWrap/>
            <w:vAlign w:val="bottom"/>
            <w:hideMark/>
          </w:tcPr>
          <w:p w14:paraId="1C6BDBA7"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8. Errors and Omissions</w:t>
            </w:r>
          </w:p>
        </w:tc>
        <w:tc>
          <w:tcPr>
            <w:tcW w:w="2596" w:type="pct"/>
            <w:tcBorders>
              <w:top w:val="nil"/>
              <w:left w:val="nil"/>
              <w:bottom w:val="single" w:sz="4" w:space="0" w:color="auto"/>
              <w:right w:val="single" w:sz="4" w:space="0" w:color="auto"/>
            </w:tcBorders>
            <w:noWrap/>
            <w:vAlign w:val="bottom"/>
            <w:hideMark/>
          </w:tcPr>
          <w:p w14:paraId="70D659B3" w14:textId="77777777" w:rsidR="00387B54" w:rsidRPr="00100E81" w:rsidRDefault="00387B54" w:rsidP="00387B54">
            <w:pPr>
              <w:jc w:val="left"/>
              <w:rPr>
                <w:rFonts w:asciiTheme="minorHAnsi" w:hAnsiTheme="minorHAnsi" w:cstheme="minorHAnsi"/>
                <w:color w:val="000000"/>
                <w:szCs w:val="20"/>
              </w:rPr>
            </w:pPr>
            <w:r w:rsidRPr="00100E81">
              <w:rPr>
                <w:rFonts w:asciiTheme="minorHAnsi" w:hAnsiTheme="minorHAnsi" w:cstheme="minorHAnsi"/>
                <w:color w:val="000000"/>
                <w:szCs w:val="20"/>
              </w:rPr>
              <w:t>16. Season and Weather Change</w:t>
            </w:r>
          </w:p>
        </w:tc>
      </w:tr>
    </w:tbl>
    <w:p w14:paraId="67589677" w14:textId="76F9953E" w:rsidR="007771AC" w:rsidRPr="00A80A97" w:rsidRDefault="002648B8" w:rsidP="00B16F8A">
      <w:r w:rsidRPr="00A80A97">
        <w:br/>
      </w:r>
      <w:r w:rsidR="00F403DB" w:rsidRPr="00A80A97">
        <w:t xml:space="preserve">The MCAA </w:t>
      </w:r>
      <w:r w:rsidR="00903362" w:rsidRPr="00A80A97">
        <w:t>M</w:t>
      </w:r>
      <w:r w:rsidR="00F403DB" w:rsidRPr="00A80A97">
        <w:t xml:space="preserve">ethod </w:t>
      </w:r>
      <w:r w:rsidR="00712CE3">
        <w:t>has a</w:t>
      </w:r>
      <w:r w:rsidR="00F403DB" w:rsidRPr="00A80A97">
        <w:t xml:space="preserve"> subjective </w:t>
      </w:r>
      <w:r w:rsidR="00712CE3">
        <w:t>component which</w:t>
      </w:r>
      <w:r w:rsidR="00F403DB" w:rsidRPr="00A80A97">
        <w:t xml:space="preserve"> requires the analyst</w:t>
      </w:r>
      <w:r w:rsidR="00903362" w:rsidRPr="00A80A97">
        <w:t xml:space="preserve"> </w:t>
      </w:r>
      <w:r w:rsidR="009437C5" w:rsidRPr="00A80A97">
        <w:t>to apply</w:t>
      </w:r>
      <w:r w:rsidR="00F403DB" w:rsidRPr="00A80A97">
        <w:t xml:space="preserve"> </w:t>
      </w:r>
      <w:r w:rsidR="007771AC" w:rsidRPr="00A80A97">
        <w:t xml:space="preserve">one of the following three </w:t>
      </w:r>
      <w:r w:rsidR="000168AF" w:rsidRPr="00A80A97">
        <w:t>designation</w:t>
      </w:r>
      <w:r w:rsidR="007771AC" w:rsidRPr="00A80A97">
        <w:t>s</w:t>
      </w:r>
      <w:r w:rsidR="00903362" w:rsidRPr="00A80A97">
        <w:t xml:space="preserve"> for all applicable Impact Factors</w:t>
      </w:r>
      <w:r w:rsidR="007771AC" w:rsidRPr="00A80A97">
        <w:t>:</w:t>
      </w:r>
    </w:p>
    <w:p w14:paraId="73E9676C" w14:textId="65D80915" w:rsidR="007771AC" w:rsidRPr="00A80A97" w:rsidRDefault="000168AF" w:rsidP="00903362">
      <w:pPr>
        <w:pStyle w:val="ListParagraph"/>
        <w:numPr>
          <w:ilvl w:val="0"/>
          <w:numId w:val="16"/>
        </w:numPr>
      </w:pPr>
      <w:r w:rsidRPr="00A80A97">
        <w:t>Minor</w:t>
      </w:r>
    </w:p>
    <w:p w14:paraId="1E134C52" w14:textId="1ADD06D7" w:rsidR="007771AC" w:rsidRPr="00A80A97" w:rsidRDefault="00FF6468" w:rsidP="00903362">
      <w:pPr>
        <w:pStyle w:val="ListParagraph"/>
        <w:numPr>
          <w:ilvl w:val="0"/>
          <w:numId w:val="16"/>
        </w:numPr>
      </w:pPr>
      <w:r w:rsidRPr="00A80A97">
        <w:t>Average</w:t>
      </w:r>
    </w:p>
    <w:p w14:paraId="21EB6E78" w14:textId="5FF9C822" w:rsidR="00903362" w:rsidRPr="00A80A97" w:rsidRDefault="00FF6468" w:rsidP="00903362">
      <w:pPr>
        <w:pStyle w:val="ListParagraph"/>
        <w:numPr>
          <w:ilvl w:val="0"/>
          <w:numId w:val="16"/>
        </w:numPr>
      </w:pPr>
      <w:r w:rsidRPr="00A80A97">
        <w:t>Severe</w:t>
      </w:r>
    </w:p>
    <w:p w14:paraId="7B031275" w14:textId="77777777" w:rsidR="00903362" w:rsidRPr="00A80A97" w:rsidRDefault="00903362" w:rsidP="00B16F8A"/>
    <w:p w14:paraId="42F9DADE" w14:textId="48187E12" w:rsidR="00387B54" w:rsidRPr="00A80A97" w:rsidRDefault="00FF6468" w:rsidP="00B16F8A">
      <w:r w:rsidRPr="00A80A97">
        <w:t xml:space="preserve">For the sixteen (16) impact factors listed </w:t>
      </w:r>
      <w:r w:rsidR="00903362" w:rsidRPr="00A80A97">
        <w:t xml:space="preserve">in Table </w:t>
      </w:r>
      <w:r w:rsidR="002D48EE">
        <w:t>3</w:t>
      </w:r>
      <w:r w:rsidR="00903362" w:rsidRPr="00A80A97">
        <w:t xml:space="preserve"> </w:t>
      </w:r>
      <w:r w:rsidRPr="00A80A97">
        <w:t xml:space="preserve">above, there are </w:t>
      </w:r>
      <w:r w:rsidR="002526A6" w:rsidRPr="00A80A97">
        <w:t>standard “% of Loss per Factor”</w:t>
      </w:r>
      <w:r w:rsidR="002A20E6" w:rsidRPr="00A80A97">
        <w:t xml:space="preserve"> that are assigned </w:t>
      </w:r>
      <w:r w:rsidR="008B493E" w:rsidRPr="00A80A97">
        <w:t xml:space="preserve">based on the designation (minor, average, severe) chosen for each applicable </w:t>
      </w:r>
      <w:r w:rsidR="00AB44A6">
        <w:t>I</w:t>
      </w:r>
      <w:r w:rsidR="008B493E" w:rsidRPr="00A80A97">
        <w:t xml:space="preserve">mpact </w:t>
      </w:r>
      <w:r w:rsidR="00AB44A6">
        <w:t>F</w:t>
      </w:r>
      <w:r w:rsidR="008B493E" w:rsidRPr="00A80A97">
        <w:t>actor.</w:t>
      </w:r>
      <w:r w:rsidR="006514FD" w:rsidRPr="00A80A97">
        <w:t xml:space="preserve"> Those subject per</w:t>
      </w:r>
      <w:r w:rsidR="00D63DFC" w:rsidRPr="00A80A97">
        <w:t>centages are in Table 3 below.</w:t>
      </w:r>
    </w:p>
    <w:p w14:paraId="74ACD42B" w14:textId="77777777" w:rsidR="005D4C8F" w:rsidRPr="00A80A97" w:rsidRDefault="005D4C8F" w:rsidP="00B16F8A"/>
    <w:p w14:paraId="7F1AB2FB" w14:textId="7378636C" w:rsidR="003030DA" w:rsidRPr="00A80A97" w:rsidRDefault="003030DA" w:rsidP="002E265D">
      <w:pPr>
        <w:keepNext/>
      </w:pPr>
      <w:r w:rsidRPr="00A80A97">
        <w:t xml:space="preserve">Table </w:t>
      </w:r>
      <w:r w:rsidR="00660EF7">
        <w:t>4</w:t>
      </w:r>
    </w:p>
    <w:tbl>
      <w:tblPr>
        <w:tblW w:w="5000" w:type="pct"/>
        <w:jc w:val="center"/>
        <w:tblLook w:val="04A0" w:firstRow="1" w:lastRow="0" w:firstColumn="1" w:lastColumn="0" w:noHBand="0" w:noVBand="1"/>
      </w:tblPr>
      <w:tblGrid>
        <w:gridCol w:w="5086"/>
        <w:gridCol w:w="1532"/>
        <w:gridCol w:w="1447"/>
        <w:gridCol w:w="1285"/>
      </w:tblGrid>
      <w:tr w:rsidR="001A4BAA" w:rsidRPr="00A80A97" w14:paraId="7FB9E09A" w14:textId="77777777" w:rsidTr="002E265D">
        <w:trPr>
          <w:trHeight w:val="300"/>
          <w:tblHeader/>
          <w:jc w:val="center"/>
        </w:trPr>
        <w:tc>
          <w:tcPr>
            <w:tcW w:w="5000" w:type="pct"/>
            <w:gridSpan w:val="4"/>
            <w:tcBorders>
              <w:top w:val="single" w:sz="4" w:space="0" w:color="auto"/>
              <w:left w:val="single" w:sz="4" w:space="0" w:color="auto"/>
              <w:bottom w:val="single" w:sz="4" w:space="0" w:color="auto"/>
              <w:right w:val="single" w:sz="4" w:space="0" w:color="auto"/>
            </w:tcBorders>
            <w:noWrap/>
            <w:vAlign w:val="bottom"/>
            <w:hideMark/>
          </w:tcPr>
          <w:p w14:paraId="4923DBF3" w14:textId="77777777" w:rsidR="005D4C8F" w:rsidRPr="00100E81" w:rsidRDefault="005D4C8F" w:rsidP="005D4C8F">
            <w:pPr>
              <w:jc w:val="center"/>
              <w:rPr>
                <w:rFonts w:asciiTheme="minorHAnsi" w:hAnsiTheme="minorHAnsi" w:cstheme="minorHAnsi"/>
                <w:b/>
                <w:bCs/>
                <w:color w:val="000000"/>
                <w:sz w:val="22"/>
                <w:szCs w:val="22"/>
              </w:rPr>
            </w:pPr>
            <w:r w:rsidRPr="00100E81">
              <w:rPr>
                <w:rFonts w:asciiTheme="minorHAnsi" w:hAnsiTheme="minorHAnsi" w:cstheme="minorHAnsi"/>
                <w:b/>
                <w:bCs/>
                <w:color w:val="000000"/>
                <w:sz w:val="22"/>
                <w:szCs w:val="22"/>
              </w:rPr>
              <w:t>MCAA Impact Factors - Loss per Factor</w:t>
            </w:r>
          </w:p>
        </w:tc>
      </w:tr>
      <w:tr w:rsidR="00B2567E" w:rsidRPr="00A80A97" w14:paraId="3D25EF6D" w14:textId="77777777" w:rsidTr="002E265D">
        <w:trPr>
          <w:trHeight w:val="300"/>
          <w:tblHeader/>
          <w:jc w:val="center"/>
        </w:trPr>
        <w:tc>
          <w:tcPr>
            <w:tcW w:w="2720" w:type="pct"/>
            <w:vMerge w:val="restart"/>
            <w:tcBorders>
              <w:top w:val="nil"/>
              <w:left w:val="single" w:sz="4" w:space="0" w:color="auto"/>
              <w:bottom w:val="single" w:sz="4" w:space="0" w:color="auto"/>
              <w:right w:val="single" w:sz="4" w:space="0" w:color="auto"/>
            </w:tcBorders>
            <w:noWrap/>
            <w:vAlign w:val="bottom"/>
            <w:hideMark/>
          </w:tcPr>
          <w:p w14:paraId="18EA604B" w14:textId="77777777" w:rsidR="005D4C8F" w:rsidRPr="00100E81" w:rsidRDefault="005D4C8F" w:rsidP="005D4C8F">
            <w:pPr>
              <w:jc w:val="center"/>
              <w:rPr>
                <w:rFonts w:asciiTheme="minorHAnsi" w:hAnsiTheme="minorHAnsi" w:cstheme="minorHAnsi"/>
                <w:b/>
                <w:bCs/>
                <w:color w:val="000000"/>
                <w:sz w:val="22"/>
                <w:szCs w:val="22"/>
              </w:rPr>
            </w:pPr>
            <w:r w:rsidRPr="00100E81">
              <w:rPr>
                <w:rFonts w:asciiTheme="minorHAnsi" w:hAnsiTheme="minorHAnsi" w:cstheme="minorHAnsi"/>
                <w:b/>
                <w:bCs/>
                <w:color w:val="000000"/>
                <w:sz w:val="22"/>
                <w:szCs w:val="22"/>
              </w:rPr>
              <w:t>Factor</w:t>
            </w:r>
          </w:p>
        </w:tc>
        <w:tc>
          <w:tcPr>
            <w:tcW w:w="2280" w:type="pct"/>
            <w:gridSpan w:val="3"/>
            <w:tcBorders>
              <w:top w:val="single" w:sz="4" w:space="0" w:color="auto"/>
              <w:left w:val="nil"/>
              <w:bottom w:val="single" w:sz="4" w:space="0" w:color="auto"/>
              <w:right w:val="single" w:sz="4" w:space="0" w:color="auto"/>
            </w:tcBorders>
            <w:noWrap/>
            <w:vAlign w:val="bottom"/>
            <w:hideMark/>
          </w:tcPr>
          <w:p w14:paraId="727CE9E5" w14:textId="77777777" w:rsidR="005D4C8F" w:rsidRPr="00100E81" w:rsidRDefault="005D4C8F" w:rsidP="005D4C8F">
            <w:pPr>
              <w:jc w:val="center"/>
              <w:rPr>
                <w:rFonts w:asciiTheme="minorHAnsi" w:hAnsiTheme="minorHAnsi" w:cstheme="minorHAnsi"/>
                <w:b/>
                <w:bCs/>
                <w:color w:val="000000"/>
                <w:sz w:val="22"/>
                <w:szCs w:val="22"/>
              </w:rPr>
            </w:pPr>
            <w:r w:rsidRPr="00100E81">
              <w:rPr>
                <w:rFonts w:asciiTheme="minorHAnsi" w:hAnsiTheme="minorHAnsi" w:cstheme="minorHAnsi"/>
                <w:b/>
                <w:bCs/>
                <w:color w:val="000000"/>
                <w:sz w:val="22"/>
                <w:szCs w:val="22"/>
              </w:rPr>
              <w:t>Percent of Loss per Factor</w:t>
            </w:r>
          </w:p>
        </w:tc>
      </w:tr>
      <w:tr w:rsidR="00B2567E" w:rsidRPr="00A80A97" w14:paraId="14C170BB" w14:textId="77777777" w:rsidTr="002E265D">
        <w:trPr>
          <w:trHeight w:val="300"/>
          <w:tblHeader/>
          <w:jc w:val="center"/>
        </w:trPr>
        <w:tc>
          <w:tcPr>
            <w:tcW w:w="2720" w:type="pct"/>
            <w:vMerge/>
            <w:tcBorders>
              <w:top w:val="nil"/>
              <w:left w:val="single" w:sz="4" w:space="0" w:color="auto"/>
              <w:bottom w:val="single" w:sz="4" w:space="0" w:color="auto"/>
              <w:right w:val="single" w:sz="4" w:space="0" w:color="auto"/>
            </w:tcBorders>
            <w:vAlign w:val="center"/>
            <w:hideMark/>
          </w:tcPr>
          <w:p w14:paraId="735EFE8A" w14:textId="77777777" w:rsidR="005D4C8F" w:rsidRPr="00100E81" w:rsidRDefault="005D4C8F" w:rsidP="005D4C8F">
            <w:pPr>
              <w:jc w:val="left"/>
              <w:rPr>
                <w:rFonts w:asciiTheme="minorHAnsi" w:hAnsiTheme="minorHAnsi" w:cstheme="minorHAnsi"/>
                <w:b/>
                <w:bCs/>
                <w:color w:val="000000"/>
                <w:sz w:val="22"/>
                <w:szCs w:val="22"/>
              </w:rPr>
            </w:pPr>
          </w:p>
        </w:tc>
        <w:tc>
          <w:tcPr>
            <w:tcW w:w="819" w:type="pct"/>
            <w:tcBorders>
              <w:top w:val="nil"/>
              <w:left w:val="nil"/>
              <w:bottom w:val="single" w:sz="4" w:space="0" w:color="auto"/>
              <w:right w:val="single" w:sz="4" w:space="0" w:color="auto"/>
            </w:tcBorders>
            <w:noWrap/>
            <w:vAlign w:val="bottom"/>
            <w:hideMark/>
          </w:tcPr>
          <w:p w14:paraId="1E57DB16" w14:textId="77777777" w:rsidR="005D4C8F" w:rsidRPr="00100E81" w:rsidRDefault="005D4C8F" w:rsidP="005D4C8F">
            <w:pPr>
              <w:jc w:val="center"/>
              <w:rPr>
                <w:rFonts w:asciiTheme="minorHAnsi" w:hAnsiTheme="minorHAnsi" w:cstheme="minorHAnsi"/>
                <w:b/>
                <w:bCs/>
                <w:color w:val="000000"/>
                <w:sz w:val="22"/>
                <w:szCs w:val="22"/>
              </w:rPr>
            </w:pPr>
            <w:r w:rsidRPr="00100E81">
              <w:rPr>
                <w:rFonts w:asciiTheme="minorHAnsi" w:hAnsiTheme="minorHAnsi" w:cstheme="minorHAnsi"/>
                <w:b/>
                <w:bCs/>
                <w:color w:val="000000"/>
                <w:sz w:val="22"/>
                <w:szCs w:val="22"/>
              </w:rPr>
              <w:t>Minor</w:t>
            </w:r>
          </w:p>
        </w:tc>
        <w:tc>
          <w:tcPr>
            <w:tcW w:w="774" w:type="pct"/>
            <w:tcBorders>
              <w:top w:val="nil"/>
              <w:left w:val="nil"/>
              <w:bottom w:val="single" w:sz="4" w:space="0" w:color="auto"/>
              <w:right w:val="single" w:sz="4" w:space="0" w:color="auto"/>
            </w:tcBorders>
            <w:noWrap/>
            <w:vAlign w:val="bottom"/>
            <w:hideMark/>
          </w:tcPr>
          <w:p w14:paraId="2B7CA4A6" w14:textId="77777777" w:rsidR="005D4C8F" w:rsidRPr="00100E81" w:rsidRDefault="005D4C8F" w:rsidP="005D4C8F">
            <w:pPr>
              <w:jc w:val="center"/>
              <w:rPr>
                <w:rFonts w:asciiTheme="minorHAnsi" w:hAnsiTheme="minorHAnsi" w:cstheme="minorHAnsi"/>
                <w:b/>
                <w:bCs/>
                <w:color w:val="000000"/>
                <w:sz w:val="22"/>
                <w:szCs w:val="22"/>
              </w:rPr>
            </w:pPr>
            <w:r w:rsidRPr="00100E81">
              <w:rPr>
                <w:rFonts w:asciiTheme="minorHAnsi" w:hAnsiTheme="minorHAnsi" w:cstheme="minorHAnsi"/>
                <w:b/>
                <w:bCs/>
                <w:color w:val="000000"/>
                <w:sz w:val="22"/>
                <w:szCs w:val="22"/>
              </w:rPr>
              <w:t>Average</w:t>
            </w:r>
          </w:p>
        </w:tc>
        <w:tc>
          <w:tcPr>
            <w:tcW w:w="688" w:type="pct"/>
            <w:tcBorders>
              <w:top w:val="nil"/>
              <w:left w:val="nil"/>
              <w:bottom w:val="single" w:sz="4" w:space="0" w:color="auto"/>
              <w:right w:val="single" w:sz="4" w:space="0" w:color="auto"/>
            </w:tcBorders>
            <w:noWrap/>
            <w:vAlign w:val="bottom"/>
            <w:hideMark/>
          </w:tcPr>
          <w:p w14:paraId="67C53CFC" w14:textId="77777777" w:rsidR="005D4C8F" w:rsidRPr="00100E81" w:rsidRDefault="005D4C8F" w:rsidP="005D4C8F">
            <w:pPr>
              <w:jc w:val="center"/>
              <w:rPr>
                <w:rFonts w:asciiTheme="minorHAnsi" w:hAnsiTheme="minorHAnsi" w:cstheme="minorHAnsi"/>
                <w:b/>
                <w:bCs/>
                <w:color w:val="000000"/>
                <w:sz w:val="22"/>
                <w:szCs w:val="22"/>
              </w:rPr>
            </w:pPr>
            <w:r w:rsidRPr="00100E81">
              <w:rPr>
                <w:rFonts w:asciiTheme="minorHAnsi" w:hAnsiTheme="minorHAnsi" w:cstheme="minorHAnsi"/>
                <w:b/>
                <w:bCs/>
                <w:color w:val="000000"/>
                <w:sz w:val="22"/>
                <w:szCs w:val="22"/>
              </w:rPr>
              <w:t>Severe</w:t>
            </w:r>
          </w:p>
        </w:tc>
      </w:tr>
      <w:tr w:rsidR="00B2567E" w:rsidRPr="00A80A97" w14:paraId="193ED67E" w14:textId="77777777" w:rsidTr="002E265D">
        <w:trPr>
          <w:trHeight w:val="116"/>
          <w:jc w:val="center"/>
        </w:trPr>
        <w:tc>
          <w:tcPr>
            <w:tcW w:w="2720" w:type="pct"/>
            <w:tcBorders>
              <w:top w:val="nil"/>
              <w:left w:val="single" w:sz="4" w:space="0" w:color="auto"/>
              <w:bottom w:val="single" w:sz="4" w:space="0" w:color="auto"/>
              <w:right w:val="single" w:sz="4" w:space="0" w:color="auto"/>
            </w:tcBorders>
            <w:noWrap/>
            <w:vAlign w:val="bottom"/>
            <w:hideMark/>
          </w:tcPr>
          <w:p w14:paraId="5C0E7FF6"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1. Stacking of Trades</w:t>
            </w:r>
          </w:p>
        </w:tc>
        <w:tc>
          <w:tcPr>
            <w:tcW w:w="819" w:type="pct"/>
            <w:tcBorders>
              <w:top w:val="nil"/>
              <w:left w:val="nil"/>
              <w:bottom w:val="single" w:sz="4" w:space="0" w:color="auto"/>
              <w:right w:val="single" w:sz="4" w:space="0" w:color="auto"/>
            </w:tcBorders>
            <w:noWrap/>
            <w:vAlign w:val="bottom"/>
            <w:hideMark/>
          </w:tcPr>
          <w:p w14:paraId="334FEBE4"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10%</w:t>
            </w:r>
          </w:p>
        </w:tc>
        <w:tc>
          <w:tcPr>
            <w:tcW w:w="774" w:type="pct"/>
            <w:tcBorders>
              <w:top w:val="nil"/>
              <w:left w:val="nil"/>
              <w:bottom w:val="single" w:sz="4" w:space="0" w:color="auto"/>
              <w:right w:val="single" w:sz="4" w:space="0" w:color="auto"/>
            </w:tcBorders>
            <w:noWrap/>
            <w:vAlign w:val="bottom"/>
            <w:hideMark/>
          </w:tcPr>
          <w:p w14:paraId="1C195668"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20%</w:t>
            </w:r>
          </w:p>
        </w:tc>
        <w:tc>
          <w:tcPr>
            <w:tcW w:w="688" w:type="pct"/>
            <w:tcBorders>
              <w:top w:val="nil"/>
              <w:left w:val="nil"/>
              <w:bottom w:val="single" w:sz="4" w:space="0" w:color="auto"/>
              <w:right w:val="single" w:sz="4" w:space="0" w:color="auto"/>
            </w:tcBorders>
            <w:noWrap/>
            <w:vAlign w:val="bottom"/>
            <w:hideMark/>
          </w:tcPr>
          <w:p w14:paraId="13149FB0"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30%</w:t>
            </w:r>
          </w:p>
        </w:tc>
      </w:tr>
      <w:tr w:rsidR="00B2567E" w:rsidRPr="00A80A97" w14:paraId="5070900B" w14:textId="77777777" w:rsidTr="002E265D">
        <w:trPr>
          <w:trHeight w:val="107"/>
          <w:jc w:val="center"/>
        </w:trPr>
        <w:tc>
          <w:tcPr>
            <w:tcW w:w="2720" w:type="pct"/>
            <w:tcBorders>
              <w:top w:val="nil"/>
              <w:left w:val="single" w:sz="4" w:space="0" w:color="auto"/>
              <w:bottom w:val="single" w:sz="4" w:space="0" w:color="auto"/>
              <w:right w:val="single" w:sz="4" w:space="0" w:color="auto"/>
            </w:tcBorders>
            <w:noWrap/>
            <w:vAlign w:val="bottom"/>
            <w:hideMark/>
          </w:tcPr>
          <w:p w14:paraId="1AB7520E" w14:textId="4ECE9E44"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2. Morale and Attitude</w:t>
            </w:r>
          </w:p>
        </w:tc>
        <w:tc>
          <w:tcPr>
            <w:tcW w:w="819" w:type="pct"/>
            <w:tcBorders>
              <w:top w:val="nil"/>
              <w:left w:val="nil"/>
              <w:bottom w:val="single" w:sz="4" w:space="0" w:color="auto"/>
              <w:right w:val="single" w:sz="4" w:space="0" w:color="auto"/>
            </w:tcBorders>
            <w:noWrap/>
            <w:vAlign w:val="bottom"/>
            <w:hideMark/>
          </w:tcPr>
          <w:p w14:paraId="05D391FF"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5%</w:t>
            </w:r>
          </w:p>
        </w:tc>
        <w:tc>
          <w:tcPr>
            <w:tcW w:w="774" w:type="pct"/>
            <w:tcBorders>
              <w:top w:val="nil"/>
              <w:left w:val="nil"/>
              <w:bottom w:val="single" w:sz="4" w:space="0" w:color="auto"/>
              <w:right w:val="single" w:sz="4" w:space="0" w:color="auto"/>
            </w:tcBorders>
            <w:noWrap/>
            <w:vAlign w:val="bottom"/>
            <w:hideMark/>
          </w:tcPr>
          <w:p w14:paraId="20948BE0"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15%</w:t>
            </w:r>
          </w:p>
        </w:tc>
        <w:tc>
          <w:tcPr>
            <w:tcW w:w="688" w:type="pct"/>
            <w:tcBorders>
              <w:top w:val="nil"/>
              <w:left w:val="nil"/>
              <w:bottom w:val="single" w:sz="4" w:space="0" w:color="auto"/>
              <w:right w:val="single" w:sz="4" w:space="0" w:color="auto"/>
            </w:tcBorders>
            <w:noWrap/>
            <w:vAlign w:val="bottom"/>
            <w:hideMark/>
          </w:tcPr>
          <w:p w14:paraId="7DC6D89A"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30%</w:t>
            </w:r>
          </w:p>
        </w:tc>
      </w:tr>
      <w:tr w:rsidR="00B2567E" w:rsidRPr="00A80A97" w14:paraId="1FB40AB1" w14:textId="77777777" w:rsidTr="002E265D">
        <w:trPr>
          <w:trHeight w:val="197"/>
          <w:jc w:val="center"/>
        </w:trPr>
        <w:tc>
          <w:tcPr>
            <w:tcW w:w="2720" w:type="pct"/>
            <w:tcBorders>
              <w:top w:val="nil"/>
              <w:left w:val="single" w:sz="4" w:space="0" w:color="auto"/>
              <w:bottom w:val="single" w:sz="4" w:space="0" w:color="auto"/>
              <w:right w:val="single" w:sz="4" w:space="0" w:color="auto"/>
            </w:tcBorders>
            <w:noWrap/>
            <w:vAlign w:val="bottom"/>
            <w:hideMark/>
          </w:tcPr>
          <w:p w14:paraId="0952D8D5"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3. Reassignment of Manpower</w:t>
            </w:r>
          </w:p>
        </w:tc>
        <w:tc>
          <w:tcPr>
            <w:tcW w:w="819" w:type="pct"/>
            <w:tcBorders>
              <w:top w:val="nil"/>
              <w:left w:val="nil"/>
              <w:bottom w:val="single" w:sz="4" w:space="0" w:color="auto"/>
              <w:right w:val="single" w:sz="4" w:space="0" w:color="auto"/>
            </w:tcBorders>
            <w:noWrap/>
            <w:vAlign w:val="bottom"/>
            <w:hideMark/>
          </w:tcPr>
          <w:p w14:paraId="4A5506E5"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5%</w:t>
            </w:r>
          </w:p>
        </w:tc>
        <w:tc>
          <w:tcPr>
            <w:tcW w:w="774" w:type="pct"/>
            <w:tcBorders>
              <w:top w:val="nil"/>
              <w:left w:val="nil"/>
              <w:bottom w:val="single" w:sz="4" w:space="0" w:color="auto"/>
              <w:right w:val="single" w:sz="4" w:space="0" w:color="auto"/>
            </w:tcBorders>
            <w:noWrap/>
            <w:vAlign w:val="bottom"/>
            <w:hideMark/>
          </w:tcPr>
          <w:p w14:paraId="3AF65CC7"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10%</w:t>
            </w:r>
          </w:p>
        </w:tc>
        <w:tc>
          <w:tcPr>
            <w:tcW w:w="688" w:type="pct"/>
            <w:tcBorders>
              <w:top w:val="nil"/>
              <w:left w:val="nil"/>
              <w:bottom w:val="single" w:sz="4" w:space="0" w:color="auto"/>
              <w:right w:val="single" w:sz="4" w:space="0" w:color="auto"/>
            </w:tcBorders>
            <w:noWrap/>
            <w:vAlign w:val="bottom"/>
            <w:hideMark/>
          </w:tcPr>
          <w:p w14:paraId="1852131D"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15%</w:t>
            </w:r>
          </w:p>
        </w:tc>
      </w:tr>
      <w:tr w:rsidR="00B2567E" w:rsidRPr="00A80A97" w14:paraId="2AAEB938" w14:textId="77777777" w:rsidTr="002E265D">
        <w:trPr>
          <w:trHeight w:val="179"/>
          <w:jc w:val="center"/>
        </w:trPr>
        <w:tc>
          <w:tcPr>
            <w:tcW w:w="2720" w:type="pct"/>
            <w:tcBorders>
              <w:top w:val="nil"/>
              <w:left w:val="single" w:sz="4" w:space="0" w:color="auto"/>
              <w:bottom w:val="single" w:sz="4" w:space="0" w:color="auto"/>
              <w:right w:val="single" w:sz="4" w:space="0" w:color="auto"/>
            </w:tcBorders>
            <w:noWrap/>
            <w:vAlign w:val="bottom"/>
            <w:hideMark/>
          </w:tcPr>
          <w:p w14:paraId="590AE2E5"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4. Crew Size Inefficiency</w:t>
            </w:r>
          </w:p>
        </w:tc>
        <w:tc>
          <w:tcPr>
            <w:tcW w:w="819" w:type="pct"/>
            <w:tcBorders>
              <w:top w:val="nil"/>
              <w:left w:val="nil"/>
              <w:bottom w:val="single" w:sz="4" w:space="0" w:color="auto"/>
              <w:right w:val="single" w:sz="4" w:space="0" w:color="auto"/>
            </w:tcBorders>
            <w:noWrap/>
            <w:vAlign w:val="bottom"/>
            <w:hideMark/>
          </w:tcPr>
          <w:p w14:paraId="11AF46AF"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10%</w:t>
            </w:r>
          </w:p>
        </w:tc>
        <w:tc>
          <w:tcPr>
            <w:tcW w:w="774" w:type="pct"/>
            <w:tcBorders>
              <w:top w:val="nil"/>
              <w:left w:val="nil"/>
              <w:bottom w:val="single" w:sz="4" w:space="0" w:color="auto"/>
              <w:right w:val="single" w:sz="4" w:space="0" w:color="auto"/>
            </w:tcBorders>
            <w:noWrap/>
            <w:vAlign w:val="bottom"/>
            <w:hideMark/>
          </w:tcPr>
          <w:p w14:paraId="0C3752BD"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20%</w:t>
            </w:r>
          </w:p>
        </w:tc>
        <w:tc>
          <w:tcPr>
            <w:tcW w:w="688" w:type="pct"/>
            <w:tcBorders>
              <w:top w:val="nil"/>
              <w:left w:val="nil"/>
              <w:bottom w:val="single" w:sz="4" w:space="0" w:color="auto"/>
              <w:right w:val="single" w:sz="4" w:space="0" w:color="auto"/>
            </w:tcBorders>
            <w:noWrap/>
            <w:vAlign w:val="bottom"/>
            <w:hideMark/>
          </w:tcPr>
          <w:p w14:paraId="416DC1C0"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30%</w:t>
            </w:r>
          </w:p>
        </w:tc>
      </w:tr>
      <w:tr w:rsidR="00B2567E" w:rsidRPr="00A80A97" w14:paraId="7F47AE01" w14:textId="77777777" w:rsidTr="002E265D">
        <w:trPr>
          <w:trHeight w:val="179"/>
          <w:jc w:val="center"/>
        </w:trPr>
        <w:tc>
          <w:tcPr>
            <w:tcW w:w="2720" w:type="pct"/>
            <w:tcBorders>
              <w:top w:val="nil"/>
              <w:left w:val="single" w:sz="4" w:space="0" w:color="auto"/>
              <w:bottom w:val="single" w:sz="4" w:space="0" w:color="auto"/>
              <w:right w:val="single" w:sz="4" w:space="0" w:color="auto"/>
            </w:tcBorders>
            <w:noWrap/>
            <w:vAlign w:val="bottom"/>
            <w:hideMark/>
          </w:tcPr>
          <w:p w14:paraId="0C04645A"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5. Concurrent Operations</w:t>
            </w:r>
          </w:p>
        </w:tc>
        <w:tc>
          <w:tcPr>
            <w:tcW w:w="819" w:type="pct"/>
            <w:tcBorders>
              <w:top w:val="nil"/>
              <w:left w:val="nil"/>
              <w:bottom w:val="single" w:sz="4" w:space="0" w:color="auto"/>
              <w:right w:val="single" w:sz="4" w:space="0" w:color="auto"/>
            </w:tcBorders>
            <w:noWrap/>
            <w:vAlign w:val="bottom"/>
            <w:hideMark/>
          </w:tcPr>
          <w:p w14:paraId="1F8A7D5B"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5%</w:t>
            </w:r>
          </w:p>
        </w:tc>
        <w:tc>
          <w:tcPr>
            <w:tcW w:w="774" w:type="pct"/>
            <w:tcBorders>
              <w:top w:val="nil"/>
              <w:left w:val="nil"/>
              <w:bottom w:val="single" w:sz="4" w:space="0" w:color="auto"/>
              <w:right w:val="single" w:sz="4" w:space="0" w:color="auto"/>
            </w:tcBorders>
            <w:noWrap/>
            <w:vAlign w:val="bottom"/>
            <w:hideMark/>
          </w:tcPr>
          <w:p w14:paraId="1EF7C96D"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15%</w:t>
            </w:r>
          </w:p>
        </w:tc>
        <w:tc>
          <w:tcPr>
            <w:tcW w:w="688" w:type="pct"/>
            <w:tcBorders>
              <w:top w:val="nil"/>
              <w:left w:val="nil"/>
              <w:bottom w:val="single" w:sz="4" w:space="0" w:color="auto"/>
              <w:right w:val="single" w:sz="4" w:space="0" w:color="auto"/>
            </w:tcBorders>
            <w:noWrap/>
            <w:vAlign w:val="bottom"/>
            <w:hideMark/>
          </w:tcPr>
          <w:p w14:paraId="22F72B5F"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25%</w:t>
            </w:r>
          </w:p>
        </w:tc>
      </w:tr>
      <w:tr w:rsidR="00B2567E" w:rsidRPr="00A80A97" w14:paraId="3039BE63" w14:textId="77777777" w:rsidTr="002E265D">
        <w:trPr>
          <w:trHeight w:val="251"/>
          <w:jc w:val="center"/>
        </w:trPr>
        <w:tc>
          <w:tcPr>
            <w:tcW w:w="2720" w:type="pct"/>
            <w:tcBorders>
              <w:top w:val="nil"/>
              <w:left w:val="single" w:sz="4" w:space="0" w:color="auto"/>
              <w:bottom w:val="single" w:sz="4" w:space="0" w:color="auto"/>
              <w:right w:val="single" w:sz="4" w:space="0" w:color="auto"/>
            </w:tcBorders>
            <w:noWrap/>
            <w:vAlign w:val="bottom"/>
            <w:hideMark/>
          </w:tcPr>
          <w:p w14:paraId="7BEB5C0A"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6. Dilution of Supervision</w:t>
            </w:r>
          </w:p>
        </w:tc>
        <w:tc>
          <w:tcPr>
            <w:tcW w:w="819" w:type="pct"/>
            <w:tcBorders>
              <w:top w:val="nil"/>
              <w:left w:val="nil"/>
              <w:bottom w:val="single" w:sz="4" w:space="0" w:color="auto"/>
              <w:right w:val="single" w:sz="4" w:space="0" w:color="auto"/>
            </w:tcBorders>
            <w:noWrap/>
            <w:vAlign w:val="bottom"/>
            <w:hideMark/>
          </w:tcPr>
          <w:p w14:paraId="0F36D942"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10%</w:t>
            </w:r>
          </w:p>
        </w:tc>
        <w:tc>
          <w:tcPr>
            <w:tcW w:w="774" w:type="pct"/>
            <w:tcBorders>
              <w:top w:val="nil"/>
              <w:left w:val="nil"/>
              <w:bottom w:val="single" w:sz="4" w:space="0" w:color="auto"/>
              <w:right w:val="single" w:sz="4" w:space="0" w:color="auto"/>
            </w:tcBorders>
            <w:noWrap/>
            <w:vAlign w:val="bottom"/>
            <w:hideMark/>
          </w:tcPr>
          <w:p w14:paraId="46396290"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15%</w:t>
            </w:r>
          </w:p>
        </w:tc>
        <w:tc>
          <w:tcPr>
            <w:tcW w:w="688" w:type="pct"/>
            <w:tcBorders>
              <w:top w:val="nil"/>
              <w:left w:val="nil"/>
              <w:bottom w:val="single" w:sz="4" w:space="0" w:color="auto"/>
              <w:right w:val="single" w:sz="4" w:space="0" w:color="auto"/>
            </w:tcBorders>
            <w:noWrap/>
            <w:vAlign w:val="bottom"/>
            <w:hideMark/>
          </w:tcPr>
          <w:p w14:paraId="228700E3"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25%</w:t>
            </w:r>
          </w:p>
        </w:tc>
      </w:tr>
      <w:tr w:rsidR="00B2567E" w:rsidRPr="00A80A97" w14:paraId="6F08B512" w14:textId="77777777" w:rsidTr="002E265D">
        <w:trPr>
          <w:trHeight w:val="45"/>
          <w:jc w:val="center"/>
        </w:trPr>
        <w:tc>
          <w:tcPr>
            <w:tcW w:w="2720" w:type="pct"/>
            <w:tcBorders>
              <w:top w:val="nil"/>
              <w:left w:val="single" w:sz="4" w:space="0" w:color="auto"/>
              <w:bottom w:val="single" w:sz="4" w:space="0" w:color="auto"/>
              <w:right w:val="single" w:sz="4" w:space="0" w:color="auto"/>
            </w:tcBorders>
            <w:noWrap/>
            <w:vAlign w:val="bottom"/>
            <w:hideMark/>
          </w:tcPr>
          <w:p w14:paraId="32499F1A"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7. Learning Curve</w:t>
            </w:r>
          </w:p>
        </w:tc>
        <w:tc>
          <w:tcPr>
            <w:tcW w:w="819" w:type="pct"/>
            <w:tcBorders>
              <w:top w:val="nil"/>
              <w:left w:val="nil"/>
              <w:bottom w:val="single" w:sz="4" w:space="0" w:color="auto"/>
              <w:right w:val="single" w:sz="4" w:space="0" w:color="auto"/>
            </w:tcBorders>
            <w:noWrap/>
            <w:vAlign w:val="bottom"/>
            <w:hideMark/>
          </w:tcPr>
          <w:p w14:paraId="4D6978B1"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5%</w:t>
            </w:r>
          </w:p>
        </w:tc>
        <w:tc>
          <w:tcPr>
            <w:tcW w:w="774" w:type="pct"/>
            <w:tcBorders>
              <w:top w:val="nil"/>
              <w:left w:val="nil"/>
              <w:bottom w:val="single" w:sz="4" w:space="0" w:color="auto"/>
              <w:right w:val="single" w:sz="4" w:space="0" w:color="auto"/>
            </w:tcBorders>
            <w:noWrap/>
            <w:vAlign w:val="bottom"/>
            <w:hideMark/>
          </w:tcPr>
          <w:p w14:paraId="62480CBE"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15%</w:t>
            </w:r>
          </w:p>
        </w:tc>
        <w:tc>
          <w:tcPr>
            <w:tcW w:w="688" w:type="pct"/>
            <w:tcBorders>
              <w:top w:val="nil"/>
              <w:left w:val="nil"/>
              <w:bottom w:val="single" w:sz="4" w:space="0" w:color="auto"/>
              <w:right w:val="single" w:sz="4" w:space="0" w:color="auto"/>
            </w:tcBorders>
            <w:noWrap/>
            <w:vAlign w:val="bottom"/>
            <w:hideMark/>
          </w:tcPr>
          <w:p w14:paraId="011DCB31"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30%</w:t>
            </w:r>
          </w:p>
        </w:tc>
      </w:tr>
      <w:tr w:rsidR="00B2567E" w:rsidRPr="00A80A97" w14:paraId="1675F5A5" w14:textId="77777777" w:rsidTr="002E265D">
        <w:trPr>
          <w:trHeight w:val="89"/>
          <w:jc w:val="center"/>
        </w:trPr>
        <w:tc>
          <w:tcPr>
            <w:tcW w:w="2720" w:type="pct"/>
            <w:tcBorders>
              <w:top w:val="nil"/>
              <w:left w:val="single" w:sz="4" w:space="0" w:color="auto"/>
              <w:bottom w:val="single" w:sz="4" w:space="0" w:color="auto"/>
              <w:right w:val="single" w:sz="4" w:space="0" w:color="auto"/>
            </w:tcBorders>
            <w:noWrap/>
            <w:vAlign w:val="bottom"/>
            <w:hideMark/>
          </w:tcPr>
          <w:p w14:paraId="3C175C11"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8. Errors and Omissions</w:t>
            </w:r>
          </w:p>
        </w:tc>
        <w:tc>
          <w:tcPr>
            <w:tcW w:w="819" w:type="pct"/>
            <w:tcBorders>
              <w:top w:val="nil"/>
              <w:left w:val="nil"/>
              <w:bottom w:val="single" w:sz="4" w:space="0" w:color="auto"/>
              <w:right w:val="single" w:sz="4" w:space="0" w:color="auto"/>
            </w:tcBorders>
            <w:noWrap/>
            <w:vAlign w:val="bottom"/>
            <w:hideMark/>
          </w:tcPr>
          <w:p w14:paraId="6733C62D"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w:t>
            </w:r>
          </w:p>
        </w:tc>
        <w:tc>
          <w:tcPr>
            <w:tcW w:w="774" w:type="pct"/>
            <w:tcBorders>
              <w:top w:val="nil"/>
              <w:left w:val="nil"/>
              <w:bottom w:val="single" w:sz="4" w:space="0" w:color="auto"/>
              <w:right w:val="single" w:sz="4" w:space="0" w:color="auto"/>
            </w:tcBorders>
            <w:noWrap/>
            <w:vAlign w:val="bottom"/>
            <w:hideMark/>
          </w:tcPr>
          <w:p w14:paraId="4846898F"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3%</w:t>
            </w:r>
          </w:p>
        </w:tc>
        <w:tc>
          <w:tcPr>
            <w:tcW w:w="688" w:type="pct"/>
            <w:tcBorders>
              <w:top w:val="nil"/>
              <w:left w:val="nil"/>
              <w:bottom w:val="single" w:sz="4" w:space="0" w:color="auto"/>
              <w:right w:val="single" w:sz="4" w:space="0" w:color="auto"/>
            </w:tcBorders>
            <w:noWrap/>
            <w:vAlign w:val="bottom"/>
            <w:hideMark/>
          </w:tcPr>
          <w:p w14:paraId="55180B4A"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6%</w:t>
            </w:r>
          </w:p>
        </w:tc>
      </w:tr>
      <w:tr w:rsidR="00B2567E" w:rsidRPr="00A80A97" w14:paraId="04E364E3" w14:textId="77777777" w:rsidTr="002E265D">
        <w:trPr>
          <w:trHeight w:val="134"/>
          <w:jc w:val="center"/>
        </w:trPr>
        <w:tc>
          <w:tcPr>
            <w:tcW w:w="2720" w:type="pct"/>
            <w:tcBorders>
              <w:top w:val="nil"/>
              <w:left w:val="single" w:sz="4" w:space="0" w:color="auto"/>
              <w:bottom w:val="single" w:sz="4" w:space="0" w:color="auto"/>
              <w:right w:val="single" w:sz="4" w:space="0" w:color="auto"/>
            </w:tcBorders>
            <w:noWrap/>
            <w:vAlign w:val="bottom"/>
            <w:hideMark/>
          </w:tcPr>
          <w:p w14:paraId="465D73A9"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lastRenderedPageBreak/>
              <w:t>9. Beneficial Occupancy</w:t>
            </w:r>
          </w:p>
        </w:tc>
        <w:tc>
          <w:tcPr>
            <w:tcW w:w="819" w:type="pct"/>
            <w:tcBorders>
              <w:top w:val="nil"/>
              <w:left w:val="nil"/>
              <w:bottom w:val="single" w:sz="4" w:space="0" w:color="auto"/>
              <w:right w:val="single" w:sz="4" w:space="0" w:color="auto"/>
            </w:tcBorders>
            <w:noWrap/>
            <w:vAlign w:val="bottom"/>
            <w:hideMark/>
          </w:tcPr>
          <w:p w14:paraId="0A2B077E"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15%</w:t>
            </w:r>
          </w:p>
        </w:tc>
        <w:tc>
          <w:tcPr>
            <w:tcW w:w="774" w:type="pct"/>
            <w:tcBorders>
              <w:top w:val="nil"/>
              <w:left w:val="nil"/>
              <w:bottom w:val="single" w:sz="4" w:space="0" w:color="auto"/>
              <w:right w:val="single" w:sz="4" w:space="0" w:color="auto"/>
            </w:tcBorders>
            <w:noWrap/>
            <w:vAlign w:val="bottom"/>
            <w:hideMark/>
          </w:tcPr>
          <w:p w14:paraId="2FCB323C"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25%</w:t>
            </w:r>
          </w:p>
        </w:tc>
        <w:tc>
          <w:tcPr>
            <w:tcW w:w="688" w:type="pct"/>
            <w:tcBorders>
              <w:top w:val="nil"/>
              <w:left w:val="nil"/>
              <w:bottom w:val="single" w:sz="4" w:space="0" w:color="auto"/>
              <w:right w:val="single" w:sz="4" w:space="0" w:color="auto"/>
            </w:tcBorders>
            <w:noWrap/>
            <w:vAlign w:val="bottom"/>
            <w:hideMark/>
          </w:tcPr>
          <w:p w14:paraId="2152E9E3"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40%</w:t>
            </w:r>
          </w:p>
        </w:tc>
      </w:tr>
      <w:tr w:rsidR="00B2567E" w:rsidRPr="00A80A97" w14:paraId="333FB034" w14:textId="77777777" w:rsidTr="002E265D">
        <w:trPr>
          <w:trHeight w:val="188"/>
          <w:jc w:val="center"/>
        </w:trPr>
        <w:tc>
          <w:tcPr>
            <w:tcW w:w="2720" w:type="pct"/>
            <w:tcBorders>
              <w:top w:val="nil"/>
              <w:left w:val="single" w:sz="4" w:space="0" w:color="auto"/>
              <w:bottom w:val="single" w:sz="4" w:space="0" w:color="auto"/>
              <w:right w:val="single" w:sz="4" w:space="0" w:color="auto"/>
            </w:tcBorders>
            <w:noWrap/>
            <w:vAlign w:val="bottom"/>
            <w:hideMark/>
          </w:tcPr>
          <w:p w14:paraId="22A20D84"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10. Joint Occupancy</w:t>
            </w:r>
          </w:p>
        </w:tc>
        <w:tc>
          <w:tcPr>
            <w:tcW w:w="819" w:type="pct"/>
            <w:tcBorders>
              <w:top w:val="nil"/>
              <w:left w:val="nil"/>
              <w:bottom w:val="single" w:sz="4" w:space="0" w:color="auto"/>
              <w:right w:val="single" w:sz="4" w:space="0" w:color="auto"/>
            </w:tcBorders>
            <w:noWrap/>
            <w:vAlign w:val="bottom"/>
            <w:hideMark/>
          </w:tcPr>
          <w:p w14:paraId="3DED4B82"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5%</w:t>
            </w:r>
          </w:p>
        </w:tc>
        <w:tc>
          <w:tcPr>
            <w:tcW w:w="774" w:type="pct"/>
            <w:tcBorders>
              <w:top w:val="nil"/>
              <w:left w:val="nil"/>
              <w:bottom w:val="single" w:sz="4" w:space="0" w:color="auto"/>
              <w:right w:val="single" w:sz="4" w:space="0" w:color="auto"/>
            </w:tcBorders>
            <w:noWrap/>
            <w:vAlign w:val="bottom"/>
            <w:hideMark/>
          </w:tcPr>
          <w:p w14:paraId="537689CD"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12%</w:t>
            </w:r>
          </w:p>
        </w:tc>
        <w:tc>
          <w:tcPr>
            <w:tcW w:w="688" w:type="pct"/>
            <w:tcBorders>
              <w:top w:val="nil"/>
              <w:left w:val="nil"/>
              <w:bottom w:val="single" w:sz="4" w:space="0" w:color="auto"/>
              <w:right w:val="single" w:sz="4" w:space="0" w:color="auto"/>
            </w:tcBorders>
            <w:noWrap/>
            <w:vAlign w:val="bottom"/>
            <w:hideMark/>
          </w:tcPr>
          <w:p w14:paraId="05915392"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20%</w:t>
            </w:r>
          </w:p>
        </w:tc>
      </w:tr>
      <w:tr w:rsidR="00B2567E" w:rsidRPr="00A80A97" w14:paraId="60780755" w14:textId="77777777" w:rsidTr="002E265D">
        <w:trPr>
          <w:trHeight w:val="53"/>
          <w:jc w:val="center"/>
        </w:trPr>
        <w:tc>
          <w:tcPr>
            <w:tcW w:w="2720" w:type="pct"/>
            <w:tcBorders>
              <w:top w:val="nil"/>
              <w:left w:val="single" w:sz="4" w:space="0" w:color="auto"/>
              <w:bottom w:val="single" w:sz="4" w:space="0" w:color="auto"/>
              <w:right w:val="single" w:sz="4" w:space="0" w:color="auto"/>
            </w:tcBorders>
            <w:noWrap/>
            <w:vAlign w:val="bottom"/>
            <w:hideMark/>
          </w:tcPr>
          <w:p w14:paraId="2D577C28"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11. Site Access</w:t>
            </w:r>
          </w:p>
        </w:tc>
        <w:tc>
          <w:tcPr>
            <w:tcW w:w="819" w:type="pct"/>
            <w:tcBorders>
              <w:top w:val="nil"/>
              <w:left w:val="nil"/>
              <w:bottom w:val="single" w:sz="4" w:space="0" w:color="auto"/>
              <w:right w:val="single" w:sz="4" w:space="0" w:color="auto"/>
            </w:tcBorders>
            <w:noWrap/>
            <w:vAlign w:val="bottom"/>
            <w:hideMark/>
          </w:tcPr>
          <w:p w14:paraId="1042C607"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5%</w:t>
            </w:r>
          </w:p>
        </w:tc>
        <w:tc>
          <w:tcPr>
            <w:tcW w:w="774" w:type="pct"/>
            <w:tcBorders>
              <w:top w:val="nil"/>
              <w:left w:val="nil"/>
              <w:bottom w:val="single" w:sz="4" w:space="0" w:color="auto"/>
              <w:right w:val="single" w:sz="4" w:space="0" w:color="auto"/>
            </w:tcBorders>
            <w:noWrap/>
            <w:vAlign w:val="bottom"/>
            <w:hideMark/>
          </w:tcPr>
          <w:p w14:paraId="6CB3B68F"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12%</w:t>
            </w:r>
          </w:p>
        </w:tc>
        <w:tc>
          <w:tcPr>
            <w:tcW w:w="688" w:type="pct"/>
            <w:tcBorders>
              <w:top w:val="nil"/>
              <w:left w:val="nil"/>
              <w:bottom w:val="single" w:sz="4" w:space="0" w:color="auto"/>
              <w:right w:val="single" w:sz="4" w:space="0" w:color="auto"/>
            </w:tcBorders>
            <w:noWrap/>
            <w:vAlign w:val="bottom"/>
            <w:hideMark/>
          </w:tcPr>
          <w:p w14:paraId="456F78BF"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30%</w:t>
            </w:r>
          </w:p>
        </w:tc>
      </w:tr>
      <w:tr w:rsidR="00B2567E" w:rsidRPr="00A80A97" w14:paraId="622269F0" w14:textId="77777777" w:rsidTr="002E265D">
        <w:trPr>
          <w:trHeight w:val="45"/>
          <w:jc w:val="center"/>
        </w:trPr>
        <w:tc>
          <w:tcPr>
            <w:tcW w:w="2720" w:type="pct"/>
            <w:tcBorders>
              <w:top w:val="nil"/>
              <w:left w:val="single" w:sz="4" w:space="0" w:color="auto"/>
              <w:bottom w:val="single" w:sz="4" w:space="0" w:color="auto"/>
              <w:right w:val="single" w:sz="4" w:space="0" w:color="auto"/>
            </w:tcBorders>
            <w:noWrap/>
            <w:vAlign w:val="bottom"/>
            <w:hideMark/>
          </w:tcPr>
          <w:p w14:paraId="77BE40CF"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12. Logistics</w:t>
            </w:r>
          </w:p>
        </w:tc>
        <w:tc>
          <w:tcPr>
            <w:tcW w:w="819" w:type="pct"/>
            <w:tcBorders>
              <w:top w:val="nil"/>
              <w:left w:val="nil"/>
              <w:bottom w:val="single" w:sz="4" w:space="0" w:color="auto"/>
              <w:right w:val="single" w:sz="4" w:space="0" w:color="auto"/>
            </w:tcBorders>
            <w:noWrap/>
            <w:vAlign w:val="bottom"/>
            <w:hideMark/>
          </w:tcPr>
          <w:p w14:paraId="58C94BD8"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10%</w:t>
            </w:r>
          </w:p>
        </w:tc>
        <w:tc>
          <w:tcPr>
            <w:tcW w:w="774" w:type="pct"/>
            <w:tcBorders>
              <w:top w:val="nil"/>
              <w:left w:val="nil"/>
              <w:bottom w:val="single" w:sz="4" w:space="0" w:color="auto"/>
              <w:right w:val="single" w:sz="4" w:space="0" w:color="auto"/>
            </w:tcBorders>
            <w:noWrap/>
            <w:vAlign w:val="bottom"/>
            <w:hideMark/>
          </w:tcPr>
          <w:p w14:paraId="3D6F870B"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25%</w:t>
            </w:r>
          </w:p>
        </w:tc>
        <w:tc>
          <w:tcPr>
            <w:tcW w:w="688" w:type="pct"/>
            <w:tcBorders>
              <w:top w:val="nil"/>
              <w:left w:val="nil"/>
              <w:bottom w:val="single" w:sz="4" w:space="0" w:color="auto"/>
              <w:right w:val="single" w:sz="4" w:space="0" w:color="auto"/>
            </w:tcBorders>
            <w:noWrap/>
            <w:vAlign w:val="bottom"/>
            <w:hideMark/>
          </w:tcPr>
          <w:p w14:paraId="7A9C8836"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50%</w:t>
            </w:r>
          </w:p>
        </w:tc>
      </w:tr>
      <w:tr w:rsidR="00B2567E" w:rsidRPr="00A80A97" w14:paraId="31E3091C" w14:textId="77777777" w:rsidTr="002E265D">
        <w:trPr>
          <w:trHeight w:val="62"/>
          <w:jc w:val="center"/>
        </w:trPr>
        <w:tc>
          <w:tcPr>
            <w:tcW w:w="2720" w:type="pct"/>
            <w:tcBorders>
              <w:top w:val="nil"/>
              <w:left w:val="single" w:sz="4" w:space="0" w:color="auto"/>
              <w:bottom w:val="single" w:sz="4" w:space="0" w:color="auto"/>
              <w:right w:val="single" w:sz="4" w:space="0" w:color="auto"/>
            </w:tcBorders>
            <w:noWrap/>
            <w:vAlign w:val="bottom"/>
            <w:hideMark/>
          </w:tcPr>
          <w:p w14:paraId="5D4712CC"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13. Fatigue</w:t>
            </w:r>
          </w:p>
        </w:tc>
        <w:tc>
          <w:tcPr>
            <w:tcW w:w="819" w:type="pct"/>
            <w:tcBorders>
              <w:top w:val="nil"/>
              <w:left w:val="nil"/>
              <w:bottom w:val="single" w:sz="4" w:space="0" w:color="auto"/>
              <w:right w:val="single" w:sz="4" w:space="0" w:color="auto"/>
            </w:tcBorders>
            <w:noWrap/>
            <w:vAlign w:val="bottom"/>
            <w:hideMark/>
          </w:tcPr>
          <w:p w14:paraId="0AA90A8F"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8%</w:t>
            </w:r>
          </w:p>
        </w:tc>
        <w:tc>
          <w:tcPr>
            <w:tcW w:w="774" w:type="pct"/>
            <w:tcBorders>
              <w:top w:val="nil"/>
              <w:left w:val="nil"/>
              <w:bottom w:val="single" w:sz="4" w:space="0" w:color="auto"/>
              <w:right w:val="single" w:sz="4" w:space="0" w:color="auto"/>
            </w:tcBorders>
            <w:noWrap/>
            <w:vAlign w:val="bottom"/>
            <w:hideMark/>
          </w:tcPr>
          <w:p w14:paraId="1206B963"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10%</w:t>
            </w:r>
          </w:p>
        </w:tc>
        <w:tc>
          <w:tcPr>
            <w:tcW w:w="688" w:type="pct"/>
            <w:tcBorders>
              <w:top w:val="nil"/>
              <w:left w:val="nil"/>
              <w:bottom w:val="single" w:sz="4" w:space="0" w:color="auto"/>
              <w:right w:val="single" w:sz="4" w:space="0" w:color="auto"/>
            </w:tcBorders>
            <w:noWrap/>
            <w:vAlign w:val="bottom"/>
            <w:hideMark/>
          </w:tcPr>
          <w:p w14:paraId="2702CF9A"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12%</w:t>
            </w:r>
          </w:p>
        </w:tc>
      </w:tr>
      <w:tr w:rsidR="00B2567E" w:rsidRPr="00A80A97" w14:paraId="3A619E6A" w14:textId="77777777" w:rsidTr="002E265D">
        <w:trPr>
          <w:trHeight w:val="45"/>
          <w:jc w:val="center"/>
        </w:trPr>
        <w:tc>
          <w:tcPr>
            <w:tcW w:w="2720" w:type="pct"/>
            <w:tcBorders>
              <w:top w:val="nil"/>
              <w:left w:val="single" w:sz="4" w:space="0" w:color="auto"/>
              <w:bottom w:val="single" w:sz="4" w:space="0" w:color="auto"/>
              <w:right w:val="single" w:sz="4" w:space="0" w:color="auto"/>
            </w:tcBorders>
            <w:noWrap/>
            <w:vAlign w:val="bottom"/>
            <w:hideMark/>
          </w:tcPr>
          <w:p w14:paraId="6DE1398E"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14. Ripple Effect</w:t>
            </w:r>
          </w:p>
        </w:tc>
        <w:tc>
          <w:tcPr>
            <w:tcW w:w="819" w:type="pct"/>
            <w:tcBorders>
              <w:top w:val="nil"/>
              <w:left w:val="nil"/>
              <w:bottom w:val="single" w:sz="4" w:space="0" w:color="auto"/>
              <w:right w:val="single" w:sz="4" w:space="0" w:color="auto"/>
            </w:tcBorders>
            <w:noWrap/>
            <w:vAlign w:val="bottom"/>
            <w:hideMark/>
          </w:tcPr>
          <w:p w14:paraId="7469FA3D"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10%</w:t>
            </w:r>
          </w:p>
        </w:tc>
        <w:tc>
          <w:tcPr>
            <w:tcW w:w="774" w:type="pct"/>
            <w:tcBorders>
              <w:top w:val="nil"/>
              <w:left w:val="nil"/>
              <w:bottom w:val="single" w:sz="4" w:space="0" w:color="auto"/>
              <w:right w:val="single" w:sz="4" w:space="0" w:color="auto"/>
            </w:tcBorders>
            <w:noWrap/>
            <w:vAlign w:val="bottom"/>
            <w:hideMark/>
          </w:tcPr>
          <w:p w14:paraId="20B1E787"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15%</w:t>
            </w:r>
          </w:p>
        </w:tc>
        <w:tc>
          <w:tcPr>
            <w:tcW w:w="688" w:type="pct"/>
            <w:tcBorders>
              <w:top w:val="nil"/>
              <w:left w:val="nil"/>
              <w:bottom w:val="single" w:sz="4" w:space="0" w:color="auto"/>
              <w:right w:val="single" w:sz="4" w:space="0" w:color="auto"/>
            </w:tcBorders>
            <w:noWrap/>
            <w:vAlign w:val="bottom"/>
            <w:hideMark/>
          </w:tcPr>
          <w:p w14:paraId="640BF923"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20%</w:t>
            </w:r>
          </w:p>
        </w:tc>
      </w:tr>
      <w:tr w:rsidR="00B2567E" w:rsidRPr="00A80A97" w14:paraId="740522F3" w14:textId="77777777" w:rsidTr="002E265D">
        <w:trPr>
          <w:trHeight w:val="45"/>
          <w:jc w:val="center"/>
        </w:trPr>
        <w:tc>
          <w:tcPr>
            <w:tcW w:w="2720" w:type="pct"/>
            <w:tcBorders>
              <w:top w:val="nil"/>
              <w:left w:val="single" w:sz="4" w:space="0" w:color="auto"/>
              <w:bottom w:val="single" w:sz="4" w:space="0" w:color="auto"/>
              <w:right w:val="single" w:sz="4" w:space="0" w:color="auto"/>
            </w:tcBorders>
            <w:noWrap/>
            <w:vAlign w:val="bottom"/>
            <w:hideMark/>
          </w:tcPr>
          <w:p w14:paraId="4E071529"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15. Overtime</w:t>
            </w:r>
          </w:p>
        </w:tc>
        <w:tc>
          <w:tcPr>
            <w:tcW w:w="819" w:type="pct"/>
            <w:tcBorders>
              <w:top w:val="nil"/>
              <w:left w:val="nil"/>
              <w:bottom w:val="single" w:sz="4" w:space="0" w:color="auto"/>
              <w:right w:val="single" w:sz="4" w:space="0" w:color="auto"/>
            </w:tcBorders>
            <w:noWrap/>
            <w:vAlign w:val="bottom"/>
            <w:hideMark/>
          </w:tcPr>
          <w:p w14:paraId="00C398C5"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10%</w:t>
            </w:r>
          </w:p>
        </w:tc>
        <w:tc>
          <w:tcPr>
            <w:tcW w:w="774" w:type="pct"/>
            <w:tcBorders>
              <w:top w:val="nil"/>
              <w:left w:val="nil"/>
              <w:bottom w:val="single" w:sz="4" w:space="0" w:color="auto"/>
              <w:right w:val="single" w:sz="4" w:space="0" w:color="auto"/>
            </w:tcBorders>
            <w:noWrap/>
            <w:vAlign w:val="bottom"/>
            <w:hideMark/>
          </w:tcPr>
          <w:p w14:paraId="6AC86CFE"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15%</w:t>
            </w:r>
          </w:p>
        </w:tc>
        <w:tc>
          <w:tcPr>
            <w:tcW w:w="688" w:type="pct"/>
            <w:tcBorders>
              <w:top w:val="nil"/>
              <w:left w:val="nil"/>
              <w:bottom w:val="single" w:sz="4" w:space="0" w:color="auto"/>
              <w:right w:val="single" w:sz="4" w:space="0" w:color="auto"/>
            </w:tcBorders>
            <w:noWrap/>
            <w:vAlign w:val="bottom"/>
            <w:hideMark/>
          </w:tcPr>
          <w:p w14:paraId="260A4BA8"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20%</w:t>
            </w:r>
          </w:p>
        </w:tc>
      </w:tr>
      <w:tr w:rsidR="00B2567E" w:rsidRPr="00A80A97" w14:paraId="77F99E0D" w14:textId="77777777" w:rsidTr="002E265D">
        <w:trPr>
          <w:trHeight w:val="215"/>
          <w:jc w:val="center"/>
        </w:trPr>
        <w:tc>
          <w:tcPr>
            <w:tcW w:w="2720" w:type="pct"/>
            <w:tcBorders>
              <w:top w:val="nil"/>
              <w:left w:val="single" w:sz="4" w:space="0" w:color="auto"/>
              <w:bottom w:val="single" w:sz="4" w:space="0" w:color="auto"/>
              <w:right w:val="single" w:sz="4" w:space="0" w:color="auto"/>
            </w:tcBorders>
            <w:noWrap/>
            <w:vAlign w:val="bottom"/>
            <w:hideMark/>
          </w:tcPr>
          <w:p w14:paraId="041AC9F4" w14:textId="77777777" w:rsidR="005D4C8F" w:rsidRPr="00100E81" w:rsidRDefault="005D4C8F" w:rsidP="005D4C8F">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16. Season and Weather Change</w:t>
            </w:r>
          </w:p>
        </w:tc>
        <w:tc>
          <w:tcPr>
            <w:tcW w:w="819" w:type="pct"/>
            <w:tcBorders>
              <w:top w:val="nil"/>
              <w:left w:val="nil"/>
              <w:bottom w:val="single" w:sz="4" w:space="0" w:color="auto"/>
              <w:right w:val="single" w:sz="4" w:space="0" w:color="auto"/>
            </w:tcBorders>
            <w:noWrap/>
            <w:vAlign w:val="bottom"/>
            <w:hideMark/>
          </w:tcPr>
          <w:p w14:paraId="12C24AEB"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10%</w:t>
            </w:r>
          </w:p>
        </w:tc>
        <w:tc>
          <w:tcPr>
            <w:tcW w:w="774" w:type="pct"/>
            <w:tcBorders>
              <w:top w:val="nil"/>
              <w:left w:val="nil"/>
              <w:bottom w:val="single" w:sz="4" w:space="0" w:color="auto"/>
              <w:right w:val="single" w:sz="4" w:space="0" w:color="auto"/>
            </w:tcBorders>
            <w:noWrap/>
            <w:vAlign w:val="bottom"/>
            <w:hideMark/>
          </w:tcPr>
          <w:p w14:paraId="42C0D277"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20%</w:t>
            </w:r>
          </w:p>
        </w:tc>
        <w:tc>
          <w:tcPr>
            <w:tcW w:w="688" w:type="pct"/>
            <w:tcBorders>
              <w:top w:val="nil"/>
              <w:left w:val="nil"/>
              <w:bottom w:val="single" w:sz="4" w:space="0" w:color="auto"/>
              <w:right w:val="single" w:sz="4" w:space="0" w:color="auto"/>
            </w:tcBorders>
            <w:noWrap/>
            <w:vAlign w:val="bottom"/>
            <w:hideMark/>
          </w:tcPr>
          <w:p w14:paraId="7A5708CD" w14:textId="77777777" w:rsidR="005D4C8F" w:rsidRPr="00100E81" w:rsidRDefault="005D4C8F" w:rsidP="005D4C8F">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30%</w:t>
            </w:r>
          </w:p>
        </w:tc>
      </w:tr>
    </w:tbl>
    <w:p w14:paraId="30C67907" w14:textId="77777777" w:rsidR="005D4C8F" w:rsidRPr="00A80A97" w:rsidRDefault="005D4C8F" w:rsidP="00B16F8A"/>
    <w:p w14:paraId="7860CEB6" w14:textId="26B1CABF" w:rsidR="00DD5AEE" w:rsidRPr="00A80A97" w:rsidRDefault="00DD5AEE" w:rsidP="00B16F8A">
      <w:r w:rsidRPr="00A80A97">
        <w:t xml:space="preserve">After </w:t>
      </w:r>
      <w:r w:rsidR="00C515CA" w:rsidRPr="00A80A97">
        <w:t xml:space="preserve">designations </w:t>
      </w:r>
      <w:r w:rsidR="00F6304F" w:rsidRPr="00A80A97">
        <w:t xml:space="preserve">have been made </w:t>
      </w:r>
      <w:r w:rsidR="00C515CA" w:rsidRPr="00A80A97">
        <w:t>to each applicable MCAA factor</w:t>
      </w:r>
      <w:r w:rsidR="00F6304F" w:rsidRPr="00A80A97">
        <w:t>s</w:t>
      </w:r>
      <w:r w:rsidR="00C515CA" w:rsidRPr="00A80A97">
        <w:t xml:space="preserve">, the </w:t>
      </w:r>
      <w:r w:rsidR="00B56D67" w:rsidRPr="00A80A97">
        <w:t xml:space="preserve">factors must be applied for </w:t>
      </w:r>
      <w:r w:rsidR="00712CE3">
        <w:t xml:space="preserve">the </w:t>
      </w:r>
      <w:r w:rsidR="00B56D67" w:rsidRPr="00A80A97">
        <w:t>loss of productivity equation.</w:t>
      </w:r>
      <w:r w:rsidR="00F6304F" w:rsidRPr="00A80A97">
        <w:t xml:space="preserve"> </w:t>
      </w:r>
      <w:r w:rsidR="00F21938" w:rsidRPr="00A80A97">
        <w:t>To correctly apply the factors, the percentages</w:t>
      </w:r>
      <w:r w:rsidR="00F27711" w:rsidRPr="00A80A97">
        <w:t xml:space="preserve"> are applied to the expected/planned labor hours, and not </w:t>
      </w:r>
      <w:r w:rsidR="00712CE3">
        <w:t>t</w:t>
      </w:r>
      <w:r w:rsidR="00F27711" w:rsidRPr="00A80A97">
        <w:t>he actual labor hours.</w:t>
      </w:r>
      <w:r w:rsidR="00814838" w:rsidRPr="00A80A97">
        <w:t xml:space="preserve"> Applying the percentages to the actual labor hours would overstate the loss of productivity.</w:t>
      </w:r>
    </w:p>
    <w:p w14:paraId="52CC4943" w14:textId="77777777" w:rsidR="00F77283" w:rsidRPr="00A80A97" w:rsidRDefault="00F77283" w:rsidP="00B16F8A"/>
    <w:p w14:paraId="2436337F" w14:textId="18D1724B" w:rsidR="00F77283" w:rsidRDefault="00F77283" w:rsidP="00B16F8A">
      <w:r w:rsidRPr="00A80A97">
        <w:t xml:space="preserve">Prior to applying the </w:t>
      </w:r>
      <w:r w:rsidR="00F96A6B" w:rsidRPr="00A80A97">
        <w:t xml:space="preserve">percentage of inefficiency to a task, all applicable factors are added together prior </w:t>
      </w:r>
      <w:r w:rsidR="00AB44A6">
        <w:t xml:space="preserve">to </w:t>
      </w:r>
      <w:r w:rsidR="00F96A6B" w:rsidRPr="00A80A97">
        <w:t xml:space="preserve">applying them to the </w:t>
      </w:r>
      <w:r w:rsidR="00D47884" w:rsidRPr="00A80A97">
        <w:t xml:space="preserve">expected hours for a task. For example, if </w:t>
      </w:r>
      <w:r w:rsidR="00E519AE" w:rsidRPr="00A80A97">
        <w:t xml:space="preserve">the MCAA </w:t>
      </w:r>
      <w:r w:rsidR="00905D81">
        <w:t>m</w:t>
      </w:r>
      <w:r w:rsidR="00E519AE" w:rsidRPr="00A80A97">
        <w:t>etho</w:t>
      </w:r>
      <w:r w:rsidR="00712CE3">
        <w:t>dology</w:t>
      </w:r>
      <w:r w:rsidR="00E519AE" w:rsidRPr="00A80A97">
        <w:t xml:space="preserve"> is applied to </w:t>
      </w:r>
      <w:r w:rsidR="00337386" w:rsidRPr="00A80A97">
        <w:t xml:space="preserve">installing LF of pipe as reviewed in the </w:t>
      </w:r>
      <w:r w:rsidR="00712CE3">
        <w:t>a</w:t>
      </w:r>
      <w:r w:rsidR="00337386" w:rsidRPr="00A80A97">
        <w:t xml:space="preserve">bove Measured Mile </w:t>
      </w:r>
      <w:r w:rsidR="00905D81">
        <w:t>m</w:t>
      </w:r>
      <w:r w:rsidR="00337386" w:rsidRPr="00A80A97">
        <w:t>ethodology example, a calculation would be as follows:</w:t>
      </w:r>
    </w:p>
    <w:p w14:paraId="2F8DFC9C" w14:textId="77777777" w:rsidR="00660EF7" w:rsidRPr="00A80A97" w:rsidRDefault="00660EF7" w:rsidP="00B16F8A"/>
    <w:p w14:paraId="0BC2DF5C" w14:textId="2EF68803" w:rsidR="00337386" w:rsidRPr="00A80A97" w:rsidRDefault="00660EF7" w:rsidP="00B16F8A">
      <w:r w:rsidRPr="00A80A97">
        <w:t xml:space="preserve">Table </w:t>
      </w:r>
      <w:r w:rsidR="00381300">
        <w:t>5</w:t>
      </w:r>
    </w:p>
    <w:tbl>
      <w:tblPr>
        <w:tblW w:w="5000" w:type="pct"/>
        <w:tblLook w:val="04A0" w:firstRow="1" w:lastRow="0" w:firstColumn="1" w:lastColumn="0" w:noHBand="0" w:noVBand="1"/>
      </w:tblPr>
      <w:tblGrid>
        <w:gridCol w:w="5399"/>
        <w:gridCol w:w="2496"/>
        <w:gridCol w:w="1455"/>
      </w:tblGrid>
      <w:tr w:rsidR="001A4BAA" w:rsidRPr="00A80A97" w14:paraId="1C462EB5" w14:textId="77777777" w:rsidTr="002E265D">
        <w:trPr>
          <w:trHeight w:val="300"/>
          <w:tblHeader/>
        </w:trPr>
        <w:tc>
          <w:tcPr>
            <w:tcW w:w="5000" w:type="pct"/>
            <w:gridSpan w:val="3"/>
            <w:tcBorders>
              <w:top w:val="single" w:sz="4" w:space="0" w:color="auto"/>
              <w:left w:val="single" w:sz="4" w:space="0" w:color="auto"/>
              <w:bottom w:val="single" w:sz="4" w:space="0" w:color="auto"/>
              <w:right w:val="single" w:sz="4" w:space="0" w:color="auto"/>
            </w:tcBorders>
            <w:noWrap/>
            <w:vAlign w:val="bottom"/>
            <w:hideMark/>
          </w:tcPr>
          <w:p w14:paraId="007ED1E0" w14:textId="77777777" w:rsidR="00EC4432" w:rsidRPr="00100E81" w:rsidRDefault="00EC4432" w:rsidP="00EC4432">
            <w:pPr>
              <w:jc w:val="center"/>
              <w:rPr>
                <w:rFonts w:asciiTheme="minorHAnsi" w:hAnsiTheme="minorHAnsi" w:cstheme="minorHAnsi"/>
                <w:b/>
                <w:bCs/>
                <w:color w:val="000000"/>
                <w:sz w:val="22"/>
                <w:szCs w:val="22"/>
              </w:rPr>
            </w:pPr>
            <w:r w:rsidRPr="00100E81">
              <w:rPr>
                <w:rFonts w:asciiTheme="minorHAnsi" w:hAnsiTheme="minorHAnsi" w:cstheme="minorHAnsi"/>
                <w:b/>
                <w:bCs/>
                <w:color w:val="000000"/>
                <w:sz w:val="22"/>
                <w:szCs w:val="22"/>
              </w:rPr>
              <w:t>MCAA Factors Applied</w:t>
            </w:r>
          </w:p>
        </w:tc>
      </w:tr>
      <w:tr w:rsidR="00745A04" w:rsidRPr="00A80A97" w14:paraId="14C85055" w14:textId="77777777" w:rsidTr="002E265D">
        <w:trPr>
          <w:trHeight w:val="300"/>
          <w:tblHeader/>
        </w:trPr>
        <w:tc>
          <w:tcPr>
            <w:tcW w:w="2887" w:type="pct"/>
            <w:tcBorders>
              <w:top w:val="nil"/>
              <w:left w:val="single" w:sz="4" w:space="0" w:color="auto"/>
              <w:bottom w:val="single" w:sz="4" w:space="0" w:color="auto"/>
              <w:right w:val="single" w:sz="4" w:space="0" w:color="auto"/>
            </w:tcBorders>
            <w:noWrap/>
            <w:vAlign w:val="bottom"/>
            <w:hideMark/>
          </w:tcPr>
          <w:p w14:paraId="4B7A8F4D" w14:textId="77777777" w:rsidR="00EC4432" w:rsidRPr="00100E81" w:rsidRDefault="00EC4432" w:rsidP="00EC4432">
            <w:pPr>
              <w:jc w:val="left"/>
              <w:rPr>
                <w:rFonts w:asciiTheme="minorHAnsi" w:hAnsiTheme="minorHAnsi" w:cstheme="minorHAnsi"/>
                <w:b/>
                <w:bCs/>
                <w:color w:val="000000"/>
                <w:sz w:val="22"/>
                <w:szCs w:val="22"/>
              </w:rPr>
            </w:pPr>
            <w:r w:rsidRPr="00100E81">
              <w:rPr>
                <w:rFonts w:asciiTheme="minorHAnsi" w:hAnsiTheme="minorHAnsi" w:cstheme="minorHAnsi"/>
                <w:b/>
                <w:bCs/>
                <w:color w:val="000000"/>
                <w:sz w:val="22"/>
                <w:szCs w:val="22"/>
              </w:rPr>
              <w:t>Factor</w:t>
            </w:r>
          </w:p>
        </w:tc>
        <w:tc>
          <w:tcPr>
            <w:tcW w:w="1335" w:type="pct"/>
            <w:tcBorders>
              <w:top w:val="nil"/>
              <w:left w:val="nil"/>
              <w:bottom w:val="single" w:sz="4" w:space="0" w:color="auto"/>
              <w:right w:val="single" w:sz="4" w:space="0" w:color="auto"/>
            </w:tcBorders>
            <w:noWrap/>
            <w:vAlign w:val="bottom"/>
            <w:hideMark/>
          </w:tcPr>
          <w:p w14:paraId="37D84F22" w14:textId="77777777" w:rsidR="00EC4432" w:rsidRPr="00100E81" w:rsidRDefault="00EC4432" w:rsidP="00EC4432">
            <w:pPr>
              <w:jc w:val="left"/>
              <w:rPr>
                <w:rFonts w:asciiTheme="minorHAnsi" w:hAnsiTheme="minorHAnsi" w:cstheme="minorHAnsi"/>
                <w:b/>
                <w:bCs/>
                <w:color w:val="000000"/>
                <w:sz w:val="22"/>
                <w:szCs w:val="22"/>
              </w:rPr>
            </w:pPr>
            <w:r w:rsidRPr="00100E81">
              <w:rPr>
                <w:rFonts w:asciiTheme="minorHAnsi" w:hAnsiTheme="minorHAnsi" w:cstheme="minorHAnsi"/>
                <w:b/>
                <w:bCs/>
                <w:color w:val="000000"/>
                <w:sz w:val="22"/>
                <w:szCs w:val="22"/>
              </w:rPr>
              <w:t>Designation</w:t>
            </w:r>
          </w:p>
        </w:tc>
        <w:tc>
          <w:tcPr>
            <w:tcW w:w="779" w:type="pct"/>
            <w:tcBorders>
              <w:top w:val="nil"/>
              <w:left w:val="nil"/>
              <w:bottom w:val="single" w:sz="4" w:space="0" w:color="auto"/>
              <w:right w:val="single" w:sz="4" w:space="0" w:color="auto"/>
            </w:tcBorders>
            <w:noWrap/>
            <w:vAlign w:val="bottom"/>
            <w:hideMark/>
          </w:tcPr>
          <w:p w14:paraId="00609888" w14:textId="77777777" w:rsidR="00EC4432" w:rsidRPr="00100E81" w:rsidRDefault="00EC4432" w:rsidP="00EC4432">
            <w:pPr>
              <w:jc w:val="left"/>
              <w:rPr>
                <w:rFonts w:asciiTheme="minorHAnsi" w:hAnsiTheme="minorHAnsi" w:cstheme="minorHAnsi"/>
                <w:b/>
                <w:bCs/>
                <w:color w:val="000000"/>
                <w:sz w:val="22"/>
                <w:szCs w:val="22"/>
              </w:rPr>
            </w:pPr>
            <w:r w:rsidRPr="00100E81">
              <w:rPr>
                <w:rFonts w:asciiTheme="minorHAnsi" w:hAnsiTheme="minorHAnsi" w:cstheme="minorHAnsi"/>
                <w:b/>
                <w:bCs/>
                <w:color w:val="000000"/>
                <w:sz w:val="22"/>
                <w:szCs w:val="22"/>
              </w:rPr>
              <w:t>% Loss</w:t>
            </w:r>
          </w:p>
        </w:tc>
      </w:tr>
      <w:tr w:rsidR="00745A04" w:rsidRPr="00A80A97" w14:paraId="362F3CAF" w14:textId="77777777" w:rsidTr="002E265D">
        <w:trPr>
          <w:trHeight w:val="300"/>
        </w:trPr>
        <w:tc>
          <w:tcPr>
            <w:tcW w:w="2887" w:type="pct"/>
            <w:tcBorders>
              <w:top w:val="nil"/>
              <w:left w:val="single" w:sz="4" w:space="0" w:color="auto"/>
              <w:bottom w:val="single" w:sz="4" w:space="0" w:color="auto"/>
              <w:right w:val="single" w:sz="4" w:space="0" w:color="auto"/>
            </w:tcBorders>
            <w:noWrap/>
            <w:vAlign w:val="bottom"/>
            <w:hideMark/>
          </w:tcPr>
          <w:p w14:paraId="63BE85D3" w14:textId="77777777" w:rsidR="00EC4432" w:rsidRPr="00100E81" w:rsidRDefault="00EC4432" w:rsidP="00EC4432">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Stacking Trades</w:t>
            </w:r>
          </w:p>
        </w:tc>
        <w:tc>
          <w:tcPr>
            <w:tcW w:w="1335" w:type="pct"/>
            <w:tcBorders>
              <w:top w:val="nil"/>
              <w:left w:val="nil"/>
              <w:bottom w:val="single" w:sz="4" w:space="0" w:color="auto"/>
              <w:right w:val="single" w:sz="4" w:space="0" w:color="auto"/>
            </w:tcBorders>
            <w:noWrap/>
            <w:vAlign w:val="bottom"/>
            <w:hideMark/>
          </w:tcPr>
          <w:p w14:paraId="1F20D9A9" w14:textId="77777777" w:rsidR="00EC4432" w:rsidRPr="00100E81" w:rsidRDefault="00EC4432" w:rsidP="00EC4432">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Average</w:t>
            </w:r>
          </w:p>
        </w:tc>
        <w:tc>
          <w:tcPr>
            <w:tcW w:w="779" w:type="pct"/>
            <w:tcBorders>
              <w:top w:val="nil"/>
              <w:left w:val="nil"/>
              <w:bottom w:val="single" w:sz="4" w:space="0" w:color="auto"/>
              <w:right w:val="single" w:sz="4" w:space="0" w:color="auto"/>
            </w:tcBorders>
            <w:noWrap/>
            <w:vAlign w:val="bottom"/>
            <w:hideMark/>
          </w:tcPr>
          <w:p w14:paraId="4A4AE490" w14:textId="77777777" w:rsidR="00EC4432" w:rsidRPr="00100E81" w:rsidRDefault="00EC4432" w:rsidP="00EC4432">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20%</w:t>
            </w:r>
          </w:p>
        </w:tc>
      </w:tr>
      <w:tr w:rsidR="00745A04" w:rsidRPr="00A80A97" w14:paraId="7D0997AC" w14:textId="77777777" w:rsidTr="002E265D">
        <w:trPr>
          <w:trHeight w:val="300"/>
        </w:trPr>
        <w:tc>
          <w:tcPr>
            <w:tcW w:w="2887" w:type="pct"/>
            <w:tcBorders>
              <w:top w:val="nil"/>
              <w:left w:val="single" w:sz="4" w:space="0" w:color="auto"/>
              <w:bottom w:val="single" w:sz="4" w:space="0" w:color="auto"/>
              <w:right w:val="single" w:sz="4" w:space="0" w:color="auto"/>
            </w:tcBorders>
            <w:noWrap/>
            <w:vAlign w:val="bottom"/>
            <w:hideMark/>
          </w:tcPr>
          <w:p w14:paraId="4D37CD48" w14:textId="77777777" w:rsidR="00EC4432" w:rsidRPr="00100E81" w:rsidRDefault="00EC4432" w:rsidP="00EC4432">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Learning Curve</w:t>
            </w:r>
          </w:p>
        </w:tc>
        <w:tc>
          <w:tcPr>
            <w:tcW w:w="1335" w:type="pct"/>
            <w:tcBorders>
              <w:top w:val="nil"/>
              <w:left w:val="nil"/>
              <w:bottom w:val="single" w:sz="4" w:space="0" w:color="auto"/>
              <w:right w:val="single" w:sz="4" w:space="0" w:color="auto"/>
            </w:tcBorders>
            <w:noWrap/>
            <w:vAlign w:val="bottom"/>
            <w:hideMark/>
          </w:tcPr>
          <w:p w14:paraId="70CB1679" w14:textId="77777777" w:rsidR="00EC4432" w:rsidRPr="00100E81" w:rsidRDefault="00EC4432" w:rsidP="00EC4432">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Minor</w:t>
            </w:r>
          </w:p>
        </w:tc>
        <w:tc>
          <w:tcPr>
            <w:tcW w:w="779" w:type="pct"/>
            <w:tcBorders>
              <w:top w:val="nil"/>
              <w:left w:val="nil"/>
              <w:bottom w:val="single" w:sz="4" w:space="0" w:color="auto"/>
              <w:right w:val="single" w:sz="4" w:space="0" w:color="auto"/>
            </w:tcBorders>
            <w:noWrap/>
            <w:vAlign w:val="bottom"/>
            <w:hideMark/>
          </w:tcPr>
          <w:p w14:paraId="3A2A1F90" w14:textId="77777777" w:rsidR="00EC4432" w:rsidRPr="00100E81" w:rsidRDefault="00EC4432" w:rsidP="00EC4432">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5%</w:t>
            </w:r>
          </w:p>
        </w:tc>
      </w:tr>
      <w:tr w:rsidR="00745A04" w:rsidRPr="00A80A97" w14:paraId="0AD64ABC" w14:textId="77777777" w:rsidTr="002E265D">
        <w:trPr>
          <w:trHeight w:val="300"/>
        </w:trPr>
        <w:tc>
          <w:tcPr>
            <w:tcW w:w="2887" w:type="pct"/>
            <w:tcBorders>
              <w:top w:val="nil"/>
              <w:left w:val="single" w:sz="4" w:space="0" w:color="auto"/>
              <w:bottom w:val="single" w:sz="4" w:space="0" w:color="auto"/>
              <w:right w:val="single" w:sz="4" w:space="0" w:color="auto"/>
            </w:tcBorders>
            <w:noWrap/>
            <w:vAlign w:val="bottom"/>
            <w:hideMark/>
          </w:tcPr>
          <w:p w14:paraId="740CA2CF" w14:textId="77777777" w:rsidR="00EC4432" w:rsidRPr="00100E81" w:rsidRDefault="00EC4432" w:rsidP="00EC4432">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Site Access</w:t>
            </w:r>
          </w:p>
        </w:tc>
        <w:tc>
          <w:tcPr>
            <w:tcW w:w="1335" w:type="pct"/>
            <w:tcBorders>
              <w:top w:val="nil"/>
              <w:left w:val="nil"/>
              <w:bottom w:val="single" w:sz="4" w:space="0" w:color="auto"/>
              <w:right w:val="single" w:sz="4" w:space="0" w:color="auto"/>
            </w:tcBorders>
            <w:noWrap/>
            <w:vAlign w:val="bottom"/>
            <w:hideMark/>
          </w:tcPr>
          <w:p w14:paraId="23CECCD2" w14:textId="77777777" w:rsidR="00EC4432" w:rsidRPr="00100E81" w:rsidRDefault="00EC4432" w:rsidP="00EC4432">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Severe</w:t>
            </w:r>
          </w:p>
        </w:tc>
        <w:tc>
          <w:tcPr>
            <w:tcW w:w="779" w:type="pct"/>
            <w:tcBorders>
              <w:top w:val="nil"/>
              <w:left w:val="nil"/>
              <w:bottom w:val="nil"/>
              <w:right w:val="single" w:sz="4" w:space="0" w:color="auto"/>
            </w:tcBorders>
            <w:noWrap/>
            <w:vAlign w:val="bottom"/>
            <w:hideMark/>
          </w:tcPr>
          <w:p w14:paraId="4F94643D" w14:textId="77777777" w:rsidR="00EC4432" w:rsidRPr="00100E81" w:rsidRDefault="00EC4432" w:rsidP="00EC4432">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30%</w:t>
            </w:r>
          </w:p>
        </w:tc>
      </w:tr>
      <w:tr w:rsidR="00745A04" w:rsidRPr="00A80A97" w14:paraId="7159A5FA" w14:textId="77777777" w:rsidTr="002E265D">
        <w:trPr>
          <w:trHeight w:val="300"/>
        </w:trPr>
        <w:tc>
          <w:tcPr>
            <w:tcW w:w="2887" w:type="pct"/>
            <w:tcBorders>
              <w:top w:val="single" w:sz="4" w:space="0" w:color="auto"/>
              <w:left w:val="single" w:sz="4" w:space="0" w:color="auto"/>
              <w:bottom w:val="single" w:sz="4" w:space="0" w:color="auto"/>
            </w:tcBorders>
            <w:noWrap/>
            <w:vAlign w:val="bottom"/>
            <w:hideMark/>
          </w:tcPr>
          <w:p w14:paraId="59FDC837" w14:textId="77777777" w:rsidR="00EC4432" w:rsidRPr="00100E81" w:rsidRDefault="00EC4432" w:rsidP="00EC4432">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 xml:space="preserve">Total Percentage Inefficient </w:t>
            </w:r>
          </w:p>
        </w:tc>
        <w:tc>
          <w:tcPr>
            <w:tcW w:w="1335" w:type="pct"/>
            <w:tcBorders>
              <w:top w:val="single" w:sz="4" w:space="0" w:color="auto"/>
              <w:bottom w:val="single" w:sz="4" w:space="0" w:color="auto"/>
              <w:right w:val="single" w:sz="4" w:space="0" w:color="auto"/>
            </w:tcBorders>
            <w:noWrap/>
            <w:vAlign w:val="bottom"/>
            <w:hideMark/>
          </w:tcPr>
          <w:p w14:paraId="77F6CF7A" w14:textId="77777777" w:rsidR="00EC4432" w:rsidRPr="00100E81" w:rsidRDefault="00EC4432" w:rsidP="00EC4432">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 </w:t>
            </w:r>
          </w:p>
        </w:tc>
        <w:tc>
          <w:tcPr>
            <w:tcW w:w="779" w:type="pct"/>
            <w:tcBorders>
              <w:top w:val="single" w:sz="4" w:space="0" w:color="auto"/>
              <w:left w:val="single" w:sz="4" w:space="0" w:color="auto"/>
              <w:bottom w:val="single" w:sz="4" w:space="0" w:color="auto"/>
              <w:right w:val="single" w:sz="4" w:space="0" w:color="auto"/>
            </w:tcBorders>
            <w:noWrap/>
            <w:vAlign w:val="bottom"/>
            <w:hideMark/>
          </w:tcPr>
          <w:p w14:paraId="528271EE" w14:textId="77777777" w:rsidR="00EC4432" w:rsidRPr="00100E81" w:rsidRDefault="00EC4432" w:rsidP="00EC4432">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55%</w:t>
            </w:r>
          </w:p>
        </w:tc>
      </w:tr>
      <w:tr w:rsidR="001A4BAA" w:rsidRPr="00A80A97" w14:paraId="42CAA54E" w14:textId="77777777" w:rsidTr="002E265D">
        <w:trPr>
          <w:trHeight w:val="300"/>
        </w:trPr>
        <w:tc>
          <w:tcPr>
            <w:tcW w:w="5000" w:type="pct"/>
            <w:gridSpan w:val="3"/>
            <w:tcBorders>
              <w:top w:val="single" w:sz="4" w:space="0" w:color="auto"/>
              <w:left w:val="single" w:sz="4" w:space="0" w:color="auto"/>
              <w:bottom w:val="single" w:sz="4" w:space="0" w:color="auto"/>
              <w:right w:val="single" w:sz="4" w:space="0" w:color="auto"/>
            </w:tcBorders>
            <w:vAlign w:val="bottom"/>
            <w:hideMark/>
          </w:tcPr>
          <w:p w14:paraId="174164F4" w14:textId="77777777" w:rsidR="00EC4432" w:rsidRPr="00100E81" w:rsidRDefault="00EC4432" w:rsidP="00EC4432">
            <w:pPr>
              <w:jc w:val="center"/>
              <w:rPr>
                <w:rFonts w:asciiTheme="minorHAnsi" w:hAnsiTheme="minorHAnsi" w:cstheme="minorHAnsi"/>
                <w:b/>
                <w:bCs/>
                <w:color w:val="000000"/>
                <w:sz w:val="22"/>
                <w:szCs w:val="22"/>
              </w:rPr>
            </w:pPr>
            <w:r w:rsidRPr="00100E81">
              <w:rPr>
                <w:rFonts w:asciiTheme="minorHAnsi" w:hAnsiTheme="minorHAnsi" w:cstheme="minorHAnsi"/>
                <w:b/>
                <w:bCs/>
                <w:color w:val="000000"/>
                <w:sz w:val="22"/>
                <w:szCs w:val="22"/>
              </w:rPr>
              <w:t>MCAA Calculation</w:t>
            </w:r>
          </w:p>
        </w:tc>
      </w:tr>
      <w:tr w:rsidR="00B2567E" w:rsidRPr="00A80A97" w14:paraId="782AC7F2" w14:textId="77777777" w:rsidTr="002E265D">
        <w:trPr>
          <w:trHeight w:val="300"/>
        </w:trPr>
        <w:tc>
          <w:tcPr>
            <w:tcW w:w="2887" w:type="pct"/>
            <w:tcBorders>
              <w:top w:val="nil"/>
              <w:left w:val="single" w:sz="4" w:space="0" w:color="auto"/>
              <w:bottom w:val="single" w:sz="4" w:space="0" w:color="auto"/>
              <w:right w:val="single" w:sz="4" w:space="0" w:color="auto"/>
            </w:tcBorders>
            <w:noWrap/>
            <w:vAlign w:val="bottom"/>
            <w:hideMark/>
          </w:tcPr>
          <w:p w14:paraId="733471CE" w14:textId="77777777" w:rsidR="00EC4432" w:rsidRPr="00100E81" w:rsidRDefault="00EC4432" w:rsidP="00EC4432">
            <w:pPr>
              <w:jc w:val="left"/>
              <w:rPr>
                <w:rFonts w:asciiTheme="minorHAnsi" w:hAnsiTheme="minorHAnsi" w:cstheme="minorHAnsi"/>
                <w:b/>
                <w:bCs/>
                <w:color w:val="000000"/>
                <w:sz w:val="22"/>
                <w:szCs w:val="22"/>
              </w:rPr>
            </w:pPr>
            <w:r w:rsidRPr="00100E81">
              <w:rPr>
                <w:rFonts w:asciiTheme="minorHAnsi" w:hAnsiTheme="minorHAnsi" w:cstheme="minorHAnsi"/>
                <w:b/>
                <w:bCs/>
                <w:color w:val="000000"/>
                <w:sz w:val="22"/>
                <w:szCs w:val="22"/>
              </w:rPr>
              <w:t>Item</w:t>
            </w:r>
          </w:p>
        </w:tc>
        <w:tc>
          <w:tcPr>
            <w:tcW w:w="2113" w:type="pct"/>
            <w:gridSpan w:val="2"/>
            <w:tcBorders>
              <w:top w:val="single" w:sz="4" w:space="0" w:color="auto"/>
              <w:left w:val="nil"/>
              <w:bottom w:val="single" w:sz="4" w:space="0" w:color="auto"/>
              <w:right w:val="single" w:sz="4" w:space="0" w:color="auto"/>
            </w:tcBorders>
            <w:noWrap/>
            <w:vAlign w:val="bottom"/>
            <w:hideMark/>
          </w:tcPr>
          <w:p w14:paraId="3DFEEF30" w14:textId="77777777" w:rsidR="00EC4432" w:rsidRPr="00100E81" w:rsidRDefault="00EC4432" w:rsidP="00EC4432">
            <w:pPr>
              <w:jc w:val="center"/>
              <w:rPr>
                <w:rFonts w:asciiTheme="minorHAnsi" w:hAnsiTheme="minorHAnsi" w:cstheme="minorHAnsi"/>
                <w:b/>
                <w:bCs/>
                <w:color w:val="000000"/>
                <w:sz w:val="22"/>
                <w:szCs w:val="22"/>
              </w:rPr>
            </w:pPr>
            <w:r w:rsidRPr="00100E81">
              <w:rPr>
                <w:rFonts w:asciiTheme="minorHAnsi" w:hAnsiTheme="minorHAnsi" w:cstheme="minorHAnsi"/>
                <w:b/>
                <w:bCs/>
                <w:color w:val="000000"/>
                <w:sz w:val="22"/>
                <w:szCs w:val="22"/>
              </w:rPr>
              <w:t>Metric</w:t>
            </w:r>
          </w:p>
        </w:tc>
      </w:tr>
      <w:tr w:rsidR="00B2567E" w:rsidRPr="00A80A97" w14:paraId="5E5AAE90" w14:textId="77777777" w:rsidTr="002E265D">
        <w:trPr>
          <w:trHeight w:val="300"/>
        </w:trPr>
        <w:tc>
          <w:tcPr>
            <w:tcW w:w="2887" w:type="pct"/>
            <w:tcBorders>
              <w:top w:val="nil"/>
              <w:left w:val="single" w:sz="4" w:space="0" w:color="auto"/>
              <w:bottom w:val="single" w:sz="4" w:space="0" w:color="auto"/>
              <w:right w:val="single" w:sz="4" w:space="0" w:color="auto"/>
            </w:tcBorders>
            <w:noWrap/>
            <w:vAlign w:val="bottom"/>
            <w:hideMark/>
          </w:tcPr>
          <w:p w14:paraId="1C458202" w14:textId="77777777" w:rsidR="00EC4432" w:rsidRPr="00100E81" w:rsidRDefault="00EC4432" w:rsidP="00EC4432">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Expected Hours</w:t>
            </w:r>
          </w:p>
        </w:tc>
        <w:tc>
          <w:tcPr>
            <w:tcW w:w="2113" w:type="pct"/>
            <w:gridSpan w:val="2"/>
            <w:tcBorders>
              <w:top w:val="single" w:sz="4" w:space="0" w:color="auto"/>
              <w:left w:val="nil"/>
              <w:bottom w:val="single" w:sz="4" w:space="0" w:color="auto"/>
              <w:right w:val="single" w:sz="4" w:space="0" w:color="auto"/>
            </w:tcBorders>
            <w:noWrap/>
            <w:vAlign w:val="bottom"/>
            <w:hideMark/>
          </w:tcPr>
          <w:p w14:paraId="31993A34" w14:textId="77777777" w:rsidR="00EC4432" w:rsidRPr="00100E81" w:rsidRDefault="00EC4432" w:rsidP="00EC4432">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1200</w:t>
            </w:r>
          </w:p>
        </w:tc>
      </w:tr>
      <w:tr w:rsidR="00B2567E" w:rsidRPr="00A80A97" w14:paraId="0557BF28" w14:textId="77777777" w:rsidTr="002E265D">
        <w:trPr>
          <w:trHeight w:val="300"/>
        </w:trPr>
        <w:tc>
          <w:tcPr>
            <w:tcW w:w="2887" w:type="pct"/>
            <w:tcBorders>
              <w:top w:val="nil"/>
              <w:left w:val="single" w:sz="4" w:space="0" w:color="auto"/>
              <w:bottom w:val="single" w:sz="4" w:space="0" w:color="auto"/>
              <w:right w:val="single" w:sz="4" w:space="0" w:color="auto"/>
            </w:tcBorders>
            <w:noWrap/>
            <w:vAlign w:val="bottom"/>
            <w:hideMark/>
          </w:tcPr>
          <w:p w14:paraId="57E7A3B3" w14:textId="77777777" w:rsidR="00EC4432" w:rsidRPr="00100E81" w:rsidRDefault="00EC4432" w:rsidP="00EC4432">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 xml:space="preserve">Total Percentage Inefficient </w:t>
            </w:r>
          </w:p>
        </w:tc>
        <w:tc>
          <w:tcPr>
            <w:tcW w:w="2113" w:type="pct"/>
            <w:gridSpan w:val="2"/>
            <w:tcBorders>
              <w:top w:val="single" w:sz="4" w:space="0" w:color="auto"/>
              <w:left w:val="nil"/>
              <w:bottom w:val="single" w:sz="4" w:space="0" w:color="auto"/>
              <w:right w:val="single" w:sz="4" w:space="0" w:color="auto"/>
            </w:tcBorders>
            <w:noWrap/>
            <w:vAlign w:val="bottom"/>
            <w:hideMark/>
          </w:tcPr>
          <w:p w14:paraId="6C7FFE9D" w14:textId="77777777" w:rsidR="00EC4432" w:rsidRPr="00100E81" w:rsidRDefault="00EC4432" w:rsidP="00EC4432">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55%</w:t>
            </w:r>
          </w:p>
        </w:tc>
      </w:tr>
      <w:tr w:rsidR="00B2567E" w:rsidRPr="00A80A97" w14:paraId="10BE6991" w14:textId="77777777" w:rsidTr="002E265D">
        <w:trPr>
          <w:trHeight w:val="300"/>
        </w:trPr>
        <w:tc>
          <w:tcPr>
            <w:tcW w:w="2887" w:type="pct"/>
            <w:tcBorders>
              <w:top w:val="nil"/>
              <w:left w:val="single" w:sz="4" w:space="0" w:color="auto"/>
              <w:bottom w:val="single" w:sz="4" w:space="0" w:color="auto"/>
              <w:right w:val="single" w:sz="4" w:space="0" w:color="auto"/>
            </w:tcBorders>
            <w:noWrap/>
            <w:vAlign w:val="bottom"/>
            <w:hideMark/>
          </w:tcPr>
          <w:p w14:paraId="124D0739" w14:textId="42C7991C" w:rsidR="00EC4432" w:rsidRPr="00100E81" w:rsidRDefault="00EC4432" w:rsidP="00EC4432">
            <w:pPr>
              <w:jc w:val="left"/>
              <w:rPr>
                <w:rFonts w:asciiTheme="minorHAnsi" w:hAnsiTheme="minorHAnsi" w:cstheme="minorHAnsi"/>
                <w:color w:val="000000"/>
                <w:sz w:val="22"/>
                <w:szCs w:val="22"/>
              </w:rPr>
            </w:pPr>
            <w:r w:rsidRPr="00100E81">
              <w:rPr>
                <w:rFonts w:asciiTheme="minorHAnsi" w:hAnsiTheme="minorHAnsi" w:cstheme="minorHAnsi"/>
                <w:color w:val="000000"/>
                <w:sz w:val="22"/>
                <w:szCs w:val="22"/>
              </w:rPr>
              <w:t>Inefficient Hours lost</w:t>
            </w:r>
          </w:p>
        </w:tc>
        <w:tc>
          <w:tcPr>
            <w:tcW w:w="2113" w:type="pct"/>
            <w:gridSpan w:val="2"/>
            <w:tcBorders>
              <w:top w:val="single" w:sz="4" w:space="0" w:color="auto"/>
              <w:left w:val="nil"/>
              <w:bottom w:val="single" w:sz="4" w:space="0" w:color="auto"/>
              <w:right w:val="single" w:sz="4" w:space="0" w:color="auto"/>
            </w:tcBorders>
            <w:noWrap/>
            <w:vAlign w:val="bottom"/>
            <w:hideMark/>
          </w:tcPr>
          <w:p w14:paraId="301AD732" w14:textId="77777777" w:rsidR="00EC4432" w:rsidRPr="00100E81" w:rsidRDefault="00EC4432" w:rsidP="00EC4432">
            <w:pPr>
              <w:jc w:val="center"/>
              <w:rPr>
                <w:rFonts w:asciiTheme="minorHAnsi" w:hAnsiTheme="minorHAnsi" w:cstheme="minorHAnsi"/>
                <w:color w:val="000000"/>
                <w:sz w:val="22"/>
                <w:szCs w:val="22"/>
              </w:rPr>
            </w:pPr>
            <w:r w:rsidRPr="00100E81">
              <w:rPr>
                <w:rFonts w:asciiTheme="minorHAnsi" w:hAnsiTheme="minorHAnsi" w:cstheme="minorHAnsi"/>
                <w:color w:val="000000"/>
                <w:sz w:val="22"/>
                <w:szCs w:val="22"/>
              </w:rPr>
              <w:t>660</w:t>
            </w:r>
          </w:p>
        </w:tc>
      </w:tr>
    </w:tbl>
    <w:p w14:paraId="5BE082FD" w14:textId="28BF0835" w:rsidR="00337386" w:rsidRDefault="000216D3" w:rsidP="000C40D0">
      <w:pPr>
        <w:pStyle w:val="Heading3"/>
      </w:pPr>
      <w:bookmarkStart w:id="17" w:name="_Toc222041028"/>
      <w:r>
        <w:t xml:space="preserve">Appropriate Use of </w:t>
      </w:r>
      <w:r w:rsidR="000C40D0" w:rsidRPr="00A80A97">
        <w:t>MCAA Model Methodology</w:t>
      </w:r>
      <w:bookmarkEnd w:id="17"/>
    </w:p>
    <w:p w14:paraId="4EC7CC50" w14:textId="29CCEF19" w:rsidR="00E423D5" w:rsidRDefault="00120FA4" w:rsidP="00120FA4">
      <w:r>
        <w:t>While not as objective a</w:t>
      </w:r>
      <w:r w:rsidR="00712CE3">
        <w:t>nd</w:t>
      </w:r>
      <w:r>
        <w:t xml:space="preserve"> reliable as the Measured Mile, the MCAA Method provides a framework and process</w:t>
      </w:r>
      <w:r w:rsidR="00712CE3">
        <w:t xml:space="preserve"> (structure)</w:t>
      </w:r>
      <w:r>
        <w:t xml:space="preserve"> for quantifying loss of productivity. </w:t>
      </w:r>
      <w:r w:rsidR="00712CE3">
        <w:t>For example, e</w:t>
      </w:r>
      <w:r>
        <w:t xml:space="preserve">ach </w:t>
      </w:r>
      <w:r w:rsidR="00712CE3">
        <w:t>p</w:t>
      </w:r>
      <w:r>
        <w:t>roject is measured against the same set of 16 Impact Factors as detailed above.</w:t>
      </w:r>
      <w:r w:rsidR="00B3354A">
        <w:t xml:space="preserve"> In addition, </w:t>
      </w:r>
      <w:r w:rsidR="00F07028">
        <w:t xml:space="preserve">the MCAA is someone nimble in a sense as not all Impact Factors have to be </w:t>
      </w:r>
      <w:r w:rsidR="00DC29A3">
        <w:t>utilized</w:t>
      </w:r>
      <w:r w:rsidR="00091FED">
        <w:t xml:space="preserve">, </w:t>
      </w:r>
      <w:r w:rsidR="00476FB4">
        <w:t>and should not</w:t>
      </w:r>
      <w:r w:rsidR="00F07028">
        <w:t xml:space="preserve"> </w:t>
      </w:r>
      <w:r w:rsidR="00476FB4">
        <w:t>be</w:t>
      </w:r>
      <w:r w:rsidR="008064D3">
        <w:t xml:space="preserve">, but the wide range of 16 different factors allows for </w:t>
      </w:r>
      <w:r w:rsidR="00E423D5">
        <w:t>a wide range of disruptions to be factored in as necessary.</w:t>
      </w:r>
    </w:p>
    <w:p w14:paraId="33299CF4" w14:textId="77777777" w:rsidR="00E423D5" w:rsidRDefault="00E423D5" w:rsidP="00120FA4"/>
    <w:p w14:paraId="6A93E44C" w14:textId="00F78390" w:rsidR="00DC29A3" w:rsidRPr="00521278" w:rsidRDefault="00712CE3" w:rsidP="00120FA4">
      <w:r>
        <w:t>Vulnerabilities</w:t>
      </w:r>
      <w:r w:rsidR="00E423D5">
        <w:t xml:space="preserve"> of the MCAA Method </w:t>
      </w:r>
      <w:r w:rsidR="00010F4E">
        <w:t xml:space="preserve">are associated with the </w:t>
      </w:r>
      <w:r>
        <w:t xml:space="preserve">human element of the </w:t>
      </w:r>
      <w:r w:rsidR="00010F4E">
        <w:t xml:space="preserve">subjectivity of the applicable of the Impact Factors. In addition, each factor is applied at only one of the 3 </w:t>
      </w:r>
      <w:r w:rsidR="00393073">
        <w:t>discussed designations: minor, average, severe.</w:t>
      </w:r>
      <w:r w:rsidR="00DC29A3">
        <w:t xml:space="preserve"> </w:t>
      </w:r>
      <w:r w:rsidR="0054607E">
        <w:t>Further, the analy</w:t>
      </w:r>
      <w:r w:rsidR="002423B3">
        <w:t xml:space="preserve">st should have good reason to apply </w:t>
      </w:r>
      <w:r w:rsidR="00241C60">
        <w:t xml:space="preserve">Average and Severe designations to </w:t>
      </w:r>
      <w:r w:rsidR="00D065C5">
        <w:t xml:space="preserve">specific Impact Factors, </w:t>
      </w:r>
      <w:r w:rsidR="00256348">
        <w:t>due to the high loss percentages associated with them</w:t>
      </w:r>
      <w:r w:rsidR="000262B4">
        <w:t xml:space="preserve">. </w:t>
      </w:r>
      <w:r w:rsidR="00991DEC">
        <w:t>Finally, t</w:t>
      </w:r>
      <w:r>
        <w:t>he analyst should also be cognizant of the</w:t>
      </w:r>
      <w:r w:rsidR="00105332">
        <w:t xml:space="preserve"> risk of double-dipping on issues between </w:t>
      </w:r>
      <w:r w:rsidR="006E6A65">
        <w:t>overlaying the Impact Factors.</w:t>
      </w:r>
      <w:r w:rsidR="00787401">
        <w:t xml:space="preserve"> The MCAA is not a</w:t>
      </w:r>
      <w:r w:rsidR="00811397">
        <w:t>n exact</w:t>
      </w:r>
      <w:r w:rsidR="00787401">
        <w:t xml:space="preserve"> </w:t>
      </w:r>
      <w:r w:rsidR="005B3F04">
        <w:t xml:space="preserve">calculation like the Measured </w:t>
      </w:r>
      <w:r w:rsidR="009437C5">
        <w:t>Mile and</w:t>
      </w:r>
      <w:r w:rsidR="005B3F04">
        <w:t xml:space="preserve"> relies on percentages that are developed from </w:t>
      </w:r>
      <w:r w:rsidR="009437C5">
        <w:t>assumptions of historical industry data.</w:t>
      </w:r>
    </w:p>
    <w:p w14:paraId="18A4AA01" w14:textId="77777777" w:rsidR="00120FA4" w:rsidRPr="00120FA4" w:rsidRDefault="00120FA4" w:rsidP="00120FA4"/>
    <w:p w14:paraId="74326EA0" w14:textId="77777777" w:rsidR="00B16F8A" w:rsidRDefault="00B16F8A" w:rsidP="00B16F8A">
      <w:pPr>
        <w:pStyle w:val="Heading3"/>
      </w:pPr>
      <w:bookmarkStart w:id="18" w:name="_Toc222041029"/>
      <w:r w:rsidRPr="00A80A97">
        <w:t>MCAA Model Methodology Results</w:t>
      </w:r>
      <w:bookmarkEnd w:id="18"/>
    </w:p>
    <w:p w14:paraId="7CDB8665" w14:textId="4B3DCC97" w:rsidR="00811397" w:rsidRDefault="00D25ECB" w:rsidP="00811397">
      <w:r>
        <w:t xml:space="preserve">Below </w:t>
      </w:r>
      <w:r w:rsidR="0047140A">
        <w:t>in</w:t>
      </w:r>
      <w:r>
        <w:t xml:space="preserve"> </w:t>
      </w:r>
      <w:r w:rsidR="0047140A">
        <w:t>T</w:t>
      </w:r>
      <w:r>
        <w:t>able</w:t>
      </w:r>
      <w:r w:rsidR="00C12F7D">
        <w:t xml:space="preserve"> 6 </w:t>
      </w:r>
      <w:r w:rsidR="006C220D">
        <w:t>shows</w:t>
      </w:r>
      <w:r w:rsidR="00992E9A">
        <w:t xml:space="preserve"> </w:t>
      </w:r>
      <w:r w:rsidR="00B21FA2">
        <w:t xml:space="preserve">productivity loss </w:t>
      </w:r>
      <w:r w:rsidR="00992E9A">
        <w:t xml:space="preserve">percentages </w:t>
      </w:r>
      <w:r w:rsidR="0042290A">
        <w:t xml:space="preserve">on the Project </w:t>
      </w:r>
      <w:r w:rsidR="00992E9A">
        <w:t xml:space="preserve">based </w:t>
      </w:r>
      <w:r w:rsidR="00B21FA2">
        <w:t>on</w:t>
      </w:r>
      <w:r w:rsidR="00992E9A">
        <w:t xml:space="preserve"> the MCAA productivity factors.</w:t>
      </w:r>
      <w:r w:rsidR="003B1BC9">
        <w:t xml:space="preserve"> In addition, the table </w:t>
      </w:r>
      <w:r w:rsidR="00470966">
        <w:t xml:space="preserve">compares each trade’s loss of productivity percentage to the </w:t>
      </w:r>
      <w:r w:rsidR="00961C0E">
        <w:t>M</w:t>
      </w:r>
      <w:r w:rsidR="00470966">
        <w:t xml:space="preserve">easured </w:t>
      </w:r>
      <w:r w:rsidR="00961C0E">
        <w:t>M</w:t>
      </w:r>
      <w:r w:rsidR="00470966">
        <w:t>ile results.</w:t>
      </w:r>
      <w:r w:rsidR="00992E9A">
        <w:t xml:space="preserve"> The number and severity </w:t>
      </w:r>
      <w:r w:rsidR="00B21FA2">
        <w:t>are left to the practitioner; however, best practices recommend</w:t>
      </w:r>
      <w:r w:rsidR="0023266B">
        <w:t xml:space="preserve"> applying two to five of the factors to avoid “double-</w:t>
      </w:r>
      <w:r w:rsidR="00EA5457">
        <w:t>dipping</w:t>
      </w:r>
      <w:r w:rsidR="004307C2">
        <w:t xml:space="preserve">.” The severity </w:t>
      </w:r>
      <w:r w:rsidR="00B21FA2">
        <w:t>of</w:t>
      </w:r>
      <w:r w:rsidR="004307C2">
        <w:t xml:space="preserve"> each of the factors was determined by surveying project personnel with </w:t>
      </w:r>
      <w:r w:rsidR="00ED08F4">
        <w:t>firsthand</w:t>
      </w:r>
      <w:r w:rsidR="004307C2">
        <w:t xml:space="preserve"> knowledge of the </w:t>
      </w:r>
      <w:r w:rsidR="0042290A">
        <w:t>P</w:t>
      </w:r>
      <w:r w:rsidR="004307C2">
        <w:t xml:space="preserve">roject and compared against the </w:t>
      </w:r>
      <w:r w:rsidR="0042290A">
        <w:t>P</w:t>
      </w:r>
      <w:r w:rsidR="004307C2">
        <w:t>roject’s contemporaneous records.</w:t>
      </w:r>
      <w:r w:rsidR="00992E9A">
        <w:t xml:space="preserve"> </w:t>
      </w:r>
    </w:p>
    <w:p w14:paraId="7514BA5F" w14:textId="77777777" w:rsidR="00660EF7" w:rsidRDefault="00660EF7" w:rsidP="00811397"/>
    <w:p w14:paraId="18CAB114" w14:textId="4176E972" w:rsidR="00405E90" w:rsidRDefault="00660EF7" w:rsidP="00811397">
      <w:r w:rsidRPr="00A80A97">
        <w:t xml:space="preserve">Table </w:t>
      </w:r>
      <w:r w:rsidR="00381300">
        <w:t>6</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AC7E8E" w14:paraId="60FC6B4F" w14:textId="77777777">
        <w:tc>
          <w:tcPr>
            <w:tcW w:w="1558" w:type="dxa"/>
            <w:vAlign w:val="center"/>
          </w:tcPr>
          <w:p w14:paraId="5B3EB23E" w14:textId="198E5B17" w:rsidR="00405E90" w:rsidRPr="00B21FA2" w:rsidRDefault="0070525B" w:rsidP="00CC4553">
            <w:pPr>
              <w:jc w:val="center"/>
              <w:rPr>
                <w:b/>
                <w:bCs/>
              </w:rPr>
            </w:pPr>
            <w:r w:rsidRPr="00B21FA2">
              <w:rPr>
                <w:b/>
                <w:bCs/>
              </w:rPr>
              <w:t>Methodology</w:t>
            </w:r>
          </w:p>
        </w:tc>
        <w:tc>
          <w:tcPr>
            <w:tcW w:w="1558" w:type="dxa"/>
            <w:vAlign w:val="center"/>
          </w:tcPr>
          <w:p w14:paraId="0F48CFB7" w14:textId="77777777" w:rsidR="00405E90" w:rsidRPr="00B21FA2" w:rsidRDefault="00405E90" w:rsidP="00CC4553">
            <w:pPr>
              <w:jc w:val="center"/>
              <w:rPr>
                <w:b/>
                <w:bCs/>
              </w:rPr>
            </w:pPr>
            <w:r w:rsidRPr="00B21FA2">
              <w:rPr>
                <w:b/>
                <w:bCs/>
              </w:rPr>
              <w:t>Electrical</w:t>
            </w:r>
          </w:p>
        </w:tc>
        <w:tc>
          <w:tcPr>
            <w:tcW w:w="1558" w:type="dxa"/>
            <w:vAlign w:val="center"/>
          </w:tcPr>
          <w:p w14:paraId="77555520" w14:textId="77777777" w:rsidR="00405E90" w:rsidRPr="00B21FA2" w:rsidRDefault="00405E90" w:rsidP="00CC4553">
            <w:pPr>
              <w:jc w:val="center"/>
              <w:rPr>
                <w:b/>
                <w:bCs/>
              </w:rPr>
            </w:pPr>
            <w:r w:rsidRPr="00B21FA2">
              <w:rPr>
                <w:b/>
                <w:bCs/>
              </w:rPr>
              <w:t>Large Equipment</w:t>
            </w:r>
          </w:p>
        </w:tc>
        <w:tc>
          <w:tcPr>
            <w:tcW w:w="1558" w:type="dxa"/>
            <w:vAlign w:val="center"/>
          </w:tcPr>
          <w:p w14:paraId="1FAFAEED" w14:textId="77777777" w:rsidR="00405E90" w:rsidRPr="00B21FA2" w:rsidRDefault="00405E90" w:rsidP="00CC4553">
            <w:pPr>
              <w:jc w:val="center"/>
              <w:rPr>
                <w:b/>
                <w:bCs/>
              </w:rPr>
            </w:pPr>
            <w:r w:rsidRPr="00B21FA2">
              <w:rPr>
                <w:b/>
                <w:bCs/>
              </w:rPr>
              <w:t>Mechanical Piping</w:t>
            </w:r>
          </w:p>
        </w:tc>
        <w:tc>
          <w:tcPr>
            <w:tcW w:w="1559" w:type="dxa"/>
            <w:vAlign w:val="center"/>
          </w:tcPr>
          <w:p w14:paraId="31D68F24" w14:textId="77777777" w:rsidR="00405E90" w:rsidRPr="00B21FA2" w:rsidRDefault="00405E90" w:rsidP="00CC4553">
            <w:pPr>
              <w:jc w:val="center"/>
              <w:rPr>
                <w:b/>
                <w:bCs/>
              </w:rPr>
            </w:pPr>
            <w:r w:rsidRPr="00B21FA2">
              <w:rPr>
                <w:b/>
                <w:bCs/>
              </w:rPr>
              <w:t>Structural Steel</w:t>
            </w:r>
          </w:p>
        </w:tc>
        <w:tc>
          <w:tcPr>
            <w:tcW w:w="1559" w:type="dxa"/>
            <w:vAlign w:val="center"/>
          </w:tcPr>
          <w:p w14:paraId="0F3E3824" w14:textId="2E880980" w:rsidR="00405E90" w:rsidRPr="00B21FA2" w:rsidRDefault="00405E90" w:rsidP="00CC4553">
            <w:pPr>
              <w:jc w:val="center"/>
              <w:rPr>
                <w:b/>
                <w:bCs/>
              </w:rPr>
            </w:pPr>
            <w:r w:rsidRPr="00B21FA2">
              <w:rPr>
                <w:b/>
                <w:bCs/>
              </w:rPr>
              <w:t>All Scopes</w:t>
            </w:r>
          </w:p>
        </w:tc>
      </w:tr>
      <w:tr w:rsidR="00AC7E8E" w14:paraId="2A6C6FE1" w14:textId="77777777" w:rsidTr="00365D58">
        <w:tc>
          <w:tcPr>
            <w:tcW w:w="1558" w:type="dxa"/>
            <w:vAlign w:val="center"/>
          </w:tcPr>
          <w:p w14:paraId="11F9B6EB" w14:textId="0AA7FC3F" w:rsidR="00365D58" w:rsidRDefault="00365D58" w:rsidP="00365D58">
            <w:pPr>
              <w:jc w:val="center"/>
            </w:pPr>
            <w:r>
              <w:t>2 Largest Factors Applied</w:t>
            </w:r>
          </w:p>
        </w:tc>
        <w:tc>
          <w:tcPr>
            <w:tcW w:w="1558" w:type="dxa"/>
            <w:vAlign w:val="center"/>
          </w:tcPr>
          <w:p w14:paraId="33EB18E2" w14:textId="2291801F" w:rsidR="00365D58" w:rsidRDefault="00365D58" w:rsidP="00365D58">
            <w:pPr>
              <w:jc w:val="center"/>
            </w:pPr>
            <w:r w:rsidRPr="00907D6D">
              <w:t>45</w:t>
            </w:r>
            <w:r>
              <w:t>%</w:t>
            </w:r>
          </w:p>
        </w:tc>
        <w:tc>
          <w:tcPr>
            <w:tcW w:w="1558" w:type="dxa"/>
            <w:vAlign w:val="center"/>
          </w:tcPr>
          <w:p w14:paraId="5D2662D4" w14:textId="0E11AFA3" w:rsidR="00365D58" w:rsidRDefault="00365D58" w:rsidP="00365D58">
            <w:pPr>
              <w:jc w:val="center"/>
            </w:pPr>
            <w:r w:rsidRPr="00907D6D">
              <w:t>45</w:t>
            </w:r>
            <w:r w:rsidR="00DE36E1">
              <w:t>%</w:t>
            </w:r>
          </w:p>
        </w:tc>
        <w:tc>
          <w:tcPr>
            <w:tcW w:w="1558" w:type="dxa"/>
            <w:vAlign w:val="center"/>
          </w:tcPr>
          <w:p w14:paraId="24AA38DB" w14:textId="45F9A0CE" w:rsidR="00365D58" w:rsidRDefault="00365D58" w:rsidP="00365D58">
            <w:pPr>
              <w:jc w:val="center"/>
            </w:pPr>
            <w:r>
              <w:rPr>
                <w:rFonts w:cs="Calibri"/>
                <w:color w:val="000000"/>
                <w:sz w:val="22"/>
                <w:szCs w:val="22"/>
              </w:rPr>
              <w:t>45</w:t>
            </w:r>
            <w:r w:rsidR="00DE36E1">
              <w:rPr>
                <w:rFonts w:cs="Calibri"/>
                <w:color w:val="000000"/>
                <w:sz w:val="22"/>
                <w:szCs w:val="22"/>
              </w:rPr>
              <w:t>%</w:t>
            </w:r>
          </w:p>
        </w:tc>
        <w:tc>
          <w:tcPr>
            <w:tcW w:w="1559" w:type="dxa"/>
            <w:vAlign w:val="center"/>
          </w:tcPr>
          <w:p w14:paraId="3153FB3B" w14:textId="363A6EC3" w:rsidR="00365D58" w:rsidRDefault="00365D58" w:rsidP="00365D58">
            <w:pPr>
              <w:jc w:val="center"/>
            </w:pPr>
            <w:r>
              <w:rPr>
                <w:rFonts w:cs="Calibri"/>
                <w:color w:val="000000"/>
                <w:sz w:val="22"/>
                <w:szCs w:val="22"/>
              </w:rPr>
              <w:t>40</w:t>
            </w:r>
            <w:r w:rsidR="00DE36E1">
              <w:rPr>
                <w:rFonts w:cs="Calibri"/>
                <w:color w:val="000000"/>
                <w:sz w:val="22"/>
                <w:szCs w:val="22"/>
              </w:rPr>
              <w:t>%</w:t>
            </w:r>
          </w:p>
        </w:tc>
        <w:tc>
          <w:tcPr>
            <w:tcW w:w="1559" w:type="dxa"/>
            <w:vAlign w:val="center"/>
          </w:tcPr>
          <w:p w14:paraId="7DD9DFD2" w14:textId="7AB7F4BF" w:rsidR="00365D58" w:rsidRDefault="00007DDB" w:rsidP="00365D58">
            <w:pPr>
              <w:jc w:val="center"/>
            </w:pPr>
            <w:r>
              <w:t>35</w:t>
            </w:r>
            <w:r w:rsidR="00DE36E1">
              <w:t>%</w:t>
            </w:r>
          </w:p>
        </w:tc>
      </w:tr>
      <w:tr w:rsidR="00AC7E8E" w14:paraId="6775488D" w14:textId="77777777" w:rsidTr="00365D58">
        <w:tc>
          <w:tcPr>
            <w:tcW w:w="1558" w:type="dxa"/>
            <w:vAlign w:val="center"/>
          </w:tcPr>
          <w:p w14:paraId="1E10582C" w14:textId="3394D9C4" w:rsidR="00365D58" w:rsidRDefault="00365D58" w:rsidP="00365D58">
            <w:pPr>
              <w:jc w:val="center"/>
            </w:pPr>
            <w:r>
              <w:t>3 Largest Factors Applied</w:t>
            </w:r>
          </w:p>
        </w:tc>
        <w:tc>
          <w:tcPr>
            <w:tcW w:w="1558" w:type="dxa"/>
            <w:vAlign w:val="center"/>
          </w:tcPr>
          <w:p w14:paraId="74134DF2" w14:textId="42ECDF08" w:rsidR="00365D58" w:rsidRDefault="00365D58" w:rsidP="00365D58">
            <w:pPr>
              <w:jc w:val="center"/>
            </w:pPr>
            <w:r w:rsidRPr="00907D6D">
              <w:t>60</w:t>
            </w:r>
            <w:r>
              <w:t>%</w:t>
            </w:r>
          </w:p>
        </w:tc>
        <w:tc>
          <w:tcPr>
            <w:tcW w:w="1558" w:type="dxa"/>
            <w:vAlign w:val="center"/>
          </w:tcPr>
          <w:p w14:paraId="23A2456F" w14:textId="578BB7A9" w:rsidR="00365D58" w:rsidRDefault="00365D58" w:rsidP="00365D58">
            <w:pPr>
              <w:jc w:val="center"/>
            </w:pPr>
            <w:r w:rsidRPr="00907D6D">
              <w:t>60</w:t>
            </w:r>
            <w:r w:rsidR="00DE36E1">
              <w:t>%</w:t>
            </w:r>
          </w:p>
        </w:tc>
        <w:tc>
          <w:tcPr>
            <w:tcW w:w="1558" w:type="dxa"/>
            <w:vAlign w:val="center"/>
          </w:tcPr>
          <w:p w14:paraId="234E8B5E" w14:textId="149ACFC3" w:rsidR="00365D58" w:rsidRDefault="00365D58" w:rsidP="00365D58">
            <w:pPr>
              <w:jc w:val="center"/>
            </w:pPr>
            <w:r>
              <w:rPr>
                <w:rFonts w:cs="Calibri"/>
                <w:color w:val="000000"/>
                <w:sz w:val="22"/>
                <w:szCs w:val="22"/>
              </w:rPr>
              <w:t>60</w:t>
            </w:r>
            <w:r w:rsidR="00DE36E1">
              <w:rPr>
                <w:rFonts w:cs="Calibri"/>
                <w:color w:val="000000"/>
                <w:sz w:val="22"/>
                <w:szCs w:val="22"/>
              </w:rPr>
              <w:t>%</w:t>
            </w:r>
          </w:p>
        </w:tc>
        <w:tc>
          <w:tcPr>
            <w:tcW w:w="1559" w:type="dxa"/>
            <w:vAlign w:val="center"/>
          </w:tcPr>
          <w:p w14:paraId="17455909" w14:textId="32E27F4D" w:rsidR="00365D58" w:rsidRDefault="00DE36E1" w:rsidP="00365D58">
            <w:pPr>
              <w:jc w:val="center"/>
            </w:pPr>
            <w:r>
              <w:t>55%</w:t>
            </w:r>
          </w:p>
        </w:tc>
        <w:tc>
          <w:tcPr>
            <w:tcW w:w="1559" w:type="dxa"/>
            <w:vAlign w:val="center"/>
          </w:tcPr>
          <w:p w14:paraId="5A757779" w14:textId="7E352F48" w:rsidR="00365D58" w:rsidRDefault="00DE36E1" w:rsidP="00365D58">
            <w:pPr>
              <w:jc w:val="center"/>
            </w:pPr>
            <w:r>
              <w:t>50%</w:t>
            </w:r>
          </w:p>
        </w:tc>
      </w:tr>
      <w:tr w:rsidR="00AC7E8E" w14:paraId="2307409F" w14:textId="77777777" w:rsidTr="00365D58">
        <w:tc>
          <w:tcPr>
            <w:tcW w:w="1558" w:type="dxa"/>
            <w:vAlign w:val="center"/>
          </w:tcPr>
          <w:p w14:paraId="2E2D8916" w14:textId="0498FF97" w:rsidR="00365D58" w:rsidRDefault="00365D58" w:rsidP="00365D58">
            <w:pPr>
              <w:jc w:val="center"/>
            </w:pPr>
            <w:r>
              <w:t>4 Largest Factors Applied</w:t>
            </w:r>
          </w:p>
        </w:tc>
        <w:tc>
          <w:tcPr>
            <w:tcW w:w="1558" w:type="dxa"/>
            <w:vAlign w:val="center"/>
          </w:tcPr>
          <w:p w14:paraId="23F0CE96" w14:textId="14351179" w:rsidR="00365D58" w:rsidRDefault="00365D58" w:rsidP="00365D58">
            <w:pPr>
              <w:jc w:val="center"/>
            </w:pPr>
            <w:r w:rsidRPr="00907D6D">
              <w:t>75</w:t>
            </w:r>
            <w:r>
              <w:t>%</w:t>
            </w:r>
          </w:p>
        </w:tc>
        <w:tc>
          <w:tcPr>
            <w:tcW w:w="1558" w:type="dxa"/>
            <w:vAlign w:val="center"/>
          </w:tcPr>
          <w:p w14:paraId="68320FCE" w14:textId="2611B81F" w:rsidR="00365D58" w:rsidRDefault="00365D58" w:rsidP="00365D58">
            <w:pPr>
              <w:jc w:val="center"/>
            </w:pPr>
            <w:r w:rsidRPr="00907D6D">
              <w:t>75</w:t>
            </w:r>
            <w:r w:rsidR="00DE36E1">
              <w:t>%</w:t>
            </w:r>
          </w:p>
        </w:tc>
        <w:tc>
          <w:tcPr>
            <w:tcW w:w="1558" w:type="dxa"/>
            <w:vAlign w:val="center"/>
          </w:tcPr>
          <w:p w14:paraId="63953E55" w14:textId="122125EA" w:rsidR="00365D58" w:rsidRDefault="00365D58" w:rsidP="00365D58">
            <w:pPr>
              <w:jc w:val="center"/>
            </w:pPr>
            <w:r>
              <w:rPr>
                <w:rFonts w:cs="Calibri"/>
                <w:color w:val="000000"/>
                <w:sz w:val="22"/>
                <w:szCs w:val="22"/>
              </w:rPr>
              <w:t>75</w:t>
            </w:r>
            <w:r w:rsidR="00DE36E1">
              <w:rPr>
                <w:rFonts w:cs="Calibri"/>
                <w:color w:val="000000"/>
                <w:sz w:val="22"/>
                <w:szCs w:val="22"/>
              </w:rPr>
              <w:t>%</w:t>
            </w:r>
          </w:p>
        </w:tc>
        <w:tc>
          <w:tcPr>
            <w:tcW w:w="1559" w:type="dxa"/>
            <w:vAlign w:val="center"/>
          </w:tcPr>
          <w:p w14:paraId="6F851D51" w14:textId="4F48B206" w:rsidR="00365D58" w:rsidRDefault="00DE36E1" w:rsidP="00365D58">
            <w:pPr>
              <w:jc w:val="center"/>
            </w:pPr>
            <w:r>
              <w:t>70%</w:t>
            </w:r>
          </w:p>
        </w:tc>
        <w:tc>
          <w:tcPr>
            <w:tcW w:w="1559" w:type="dxa"/>
            <w:vAlign w:val="center"/>
          </w:tcPr>
          <w:p w14:paraId="60C28F7B" w14:textId="5963CC93" w:rsidR="00365D58" w:rsidRDefault="00DE36E1" w:rsidP="00365D58">
            <w:pPr>
              <w:jc w:val="center"/>
            </w:pPr>
            <w:r>
              <w:t>65%</w:t>
            </w:r>
          </w:p>
        </w:tc>
      </w:tr>
      <w:tr w:rsidR="00AC7E8E" w14:paraId="4DBCAD7F" w14:textId="77777777" w:rsidTr="00365D58">
        <w:tc>
          <w:tcPr>
            <w:tcW w:w="1558" w:type="dxa"/>
            <w:vAlign w:val="center"/>
          </w:tcPr>
          <w:p w14:paraId="36C96657" w14:textId="09652B8D" w:rsidR="00365D58" w:rsidRDefault="00365D58" w:rsidP="00365D58">
            <w:pPr>
              <w:jc w:val="center"/>
            </w:pPr>
            <w:r>
              <w:t>5 Largest Factors Applied</w:t>
            </w:r>
          </w:p>
        </w:tc>
        <w:tc>
          <w:tcPr>
            <w:tcW w:w="1558" w:type="dxa"/>
            <w:vAlign w:val="center"/>
          </w:tcPr>
          <w:p w14:paraId="6767F7E3" w14:textId="52EC0115" w:rsidR="00365D58" w:rsidRDefault="00365D58" w:rsidP="00365D58">
            <w:pPr>
              <w:jc w:val="center"/>
            </w:pPr>
            <w:r w:rsidRPr="00907D6D">
              <w:t>90</w:t>
            </w:r>
            <w:r>
              <w:t>%</w:t>
            </w:r>
          </w:p>
        </w:tc>
        <w:tc>
          <w:tcPr>
            <w:tcW w:w="1558" w:type="dxa"/>
            <w:vAlign w:val="center"/>
          </w:tcPr>
          <w:p w14:paraId="1A9DA8F7" w14:textId="10D13C0E" w:rsidR="00365D58" w:rsidRDefault="00365D58" w:rsidP="00365D58">
            <w:pPr>
              <w:jc w:val="center"/>
            </w:pPr>
            <w:r w:rsidRPr="00907D6D">
              <w:t>90</w:t>
            </w:r>
            <w:r w:rsidR="00DE36E1">
              <w:t>%</w:t>
            </w:r>
          </w:p>
        </w:tc>
        <w:tc>
          <w:tcPr>
            <w:tcW w:w="1558" w:type="dxa"/>
            <w:vAlign w:val="center"/>
          </w:tcPr>
          <w:p w14:paraId="2D67DBFB" w14:textId="1CB82CB8" w:rsidR="00365D58" w:rsidRDefault="00365D58" w:rsidP="00365D58">
            <w:pPr>
              <w:jc w:val="center"/>
            </w:pPr>
            <w:r>
              <w:rPr>
                <w:rFonts w:cs="Calibri"/>
                <w:color w:val="000000"/>
                <w:sz w:val="22"/>
                <w:szCs w:val="22"/>
              </w:rPr>
              <w:t>90</w:t>
            </w:r>
            <w:r w:rsidR="00DE36E1">
              <w:rPr>
                <w:rFonts w:cs="Calibri"/>
                <w:color w:val="000000"/>
                <w:sz w:val="22"/>
                <w:szCs w:val="22"/>
              </w:rPr>
              <w:t>%</w:t>
            </w:r>
          </w:p>
        </w:tc>
        <w:tc>
          <w:tcPr>
            <w:tcW w:w="1559" w:type="dxa"/>
            <w:vAlign w:val="center"/>
          </w:tcPr>
          <w:p w14:paraId="046EF445" w14:textId="609856D9" w:rsidR="00365D58" w:rsidRDefault="00DE36E1" w:rsidP="00365D58">
            <w:pPr>
              <w:jc w:val="center"/>
            </w:pPr>
            <w:r>
              <w:t>82%</w:t>
            </w:r>
          </w:p>
        </w:tc>
        <w:tc>
          <w:tcPr>
            <w:tcW w:w="1559" w:type="dxa"/>
            <w:vAlign w:val="center"/>
          </w:tcPr>
          <w:p w14:paraId="2F9DA481" w14:textId="64AC0123" w:rsidR="00365D58" w:rsidRDefault="00DE36E1" w:rsidP="00365D58">
            <w:pPr>
              <w:jc w:val="center"/>
            </w:pPr>
            <w:r>
              <w:t>80%</w:t>
            </w:r>
          </w:p>
        </w:tc>
      </w:tr>
      <w:tr w:rsidR="00AC7E8E" w14:paraId="28F6FCBC" w14:textId="77777777" w:rsidTr="00365D58">
        <w:tc>
          <w:tcPr>
            <w:tcW w:w="1558" w:type="dxa"/>
            <w:vAlign w:val="center"/>
          </w:tcPr>
          <w:p w14:paraId="4EAD924F" w14:textId="77777777" w:rsidR="00405E90" w:rsidRDefault="00405E90" w:rsidP="00CC4553">
            <w:pPr>
              <w:jc w:val="center"/>
            </w:pPr>
            <w:r>
              <w:t>Measured Mile Loss of Productivity</w:t>
            </w:r>
          </w:p>
        </w:tc>
        <w:tc>
          <w:tcPr>
            <w:tcW w:w="1558" w:type="dxa"/>
            <w:vAlign w:val="center"/>
          </w:tcPr>
          <w:p w14:paraId="73D2CE04" w14:textId="77777777" w:rsidR="00405E90" w:rsidRDefault="00405E90" w:rsidP="00365D58">
            <w:pPr>
              <w:jc w:val="center"/>
            </w:pPr>
            <w:r>
              <w:t>33%</w:t>
            </w:r>
          </w:p>
        </w:tc>
        <w:tc>
          <w:tcPr>
            <w:tcW w:w="1558" w:type="dxa"/>
            <w:vAlign w:val="center"/>
          </w:tcPr>
          <w:p w14:paraId="7936702D" w14:textId="77777777" w:rsidR="00405E90" w:rsidRDefault="00405E90" w:rsidP="00365D58">
            <w:pPr>
              <w:jc w:val="center"/>
            </w:pPr>
            <w:r>
              <w:t>54%</w:t>
            </w:r>
          </w:p>
        </w:tc>
        <w:tc>
          <w:tcPr>
            <w:tcW w:w="1558" w:type="dxa"/>
            <w:vAlign w:val="center"/>
          </w:tcPr>
          <w:p w14:paraId="387A70F3" w14:textId="77777777" w:rsidR="00405E90" w:rsidRDefault="00405E90" w:rsidP="00365D58">
            <w:pPr>
              <w:jc w:val="center"/>
            </w:pPr>
            <w:r>
              <w:t>37%</w:t>
            </w:r>
          </w:p>
        </w:tc>
        <w:tc>
          <w:tcPr>
            <w:tcW w:w="1559" w:type="dxa"/>
            <w:vAlign w:val="center"/>
          </w:tcPr>
          <w:p w14:paraId="4C4BE4D5" w14:textId="77777777" w:rsidR="00405E90" w:rsidRDefault="00405E90" w:rsidP="00365D58">
            <w:pPr>
              <w:jc w:val="center"/>
            </w:pPr>
            <w:r>
              <w:t>28%</w:t>
            </w:r>
          </w:p>
        </w:tc>
        <w:tc>
          <w:tcPr>
            <w:tcW w:w="1559" w:type="dxa"/>
            <w:vAlign w:val="center"/>
          </w:tcPr>
          <w:p w14:paraId="16968EF5" w14:textId="77777777" w:rsidR="00405E90" w:rsidRDefault="00405E90" w:rsidP="00365D58">
            <w:pPr>
              <w:jc w:val="center"/>
            </w:pPr>
            <w:r>
              <w:t>32%</w:t>
            </w:r>
          </w:p>
        </w:tc>
      </w:tr>
    </w:tbl>
    <w:p w14:paraId="70851D66" w14:textId="77777777" w:rsidR="00405E90" w:rsidRDefault="00405E90" w:rsidP="00811397"/>
    <w:p w14:paraId="38203484" w14:textId="08E5CFB5" w:rsidR="00FB4C68" w:rsidRDefault="00FD5DE9" w:rsidP="00811397">
      <w:r>
        <w:t xml:space="preserve">In every instance, the MCAA factors resulted in a higher </w:t>
      </w:r>
      <w:r w:rsidR="00B06054">
        <w:t>percentage loss of productivity than that calculated using</w:t>
      </w:r>
      <w:r>
        <w:t xml:space="preserve"> </w:t>
      </w:r>
      <w:r w:rsidR="00017016">
        <w:t>the M</w:t>
      </w:r>
      <w:r>
        <w:t xml:space="preserve">easured </w:t>
      </w:r>
      <w:r w:rsidR="00017016">
        <w:t>M</w:t>
      </w:r>
      <w:r>
        <w:t>ile</w:t>
      </w:r>
      <w:r w:rsidR="00B06054">
        <w:t xml:space="preserve"> methodology.</w:t>
      </w:r>
    </w:p>
    <w:p w14:paraId="04792F62" w14:textId="77777777" w:rsidR="0035122B" w:rsidRDefault="0035122B" w:rsidP="00811397"/>
    <w:p w14:paraId="1048B20B" w14:textId="7F439A76" w:rsidR="0035122B" w:rsidRDefault="002B36F5" w:rsidP="00811397">
      <w:r>
        <w:t>Soley as a comparison exercise</w:t>
      </w:r>
      <w:r w:rsidR="003069CF">
        <w:t xml:space="preserve"> for this analysis,</w:t>
      </w:r>
      <w:r>
        <w:t xml:space="preserve"> </w:t>
      </w:r>
      <w:r w:rsidR="00092CE1">
        <w:t>to target MCAA results that are similar to the Measured Mile results</w:t>
      </w:r>
      <w:r>
        <w:t>,</w:t>
      </w:r>
      <w:r w:rsidR="00245A0F">
        <w:t xml:space="preserve"> </w:t>
      </w:r>
      <w:r w:rsidR="00704998">
        <w:t>the number</w:t>
      </w:r>
      <w:r w:rsidR="008318C0">
        <w:t xml:space="preserve"> and severity </w:t>
      </w:r>
      <w:r w:rsidR="00324E57">
        <w:t xml:space="preserve">of the productivity </w:t>
      </w:r>
      <w:r w:rsidR="00434ADB">
        <w:t xml:space="preserve">factors </w:t>
      </w:r>
      <w:r w:rsidR="00AB6372">
        <w:t>were</w:t>
      </w:r>
      <w:r w:rsidR="00245A0F">
        <w:t xml:space="preserve"> “back</w:t>
      </w:r>
      <w:r w:rsidR="00704998">
        <w:t>ed</w:t>
      </w:r>
      <w:r w:rsidR="00245A0F">
        <w:t>-in”.</w:t>
      </w:r>
      <w:r w:rsidR="008A3ADB">
        <w:t xml:space="preserve"> </w:t>
      </w:r>
      <w:r w:rsidR="00DF3815">
        <w:t>However, it is not recommended to bac</w:t>
      </w:r>
      <w:r w:rsidR="00796EFB">
        <w:t xml:space="preserve">k-in analysis factors to </w:t>
      </w:r>
      <w:r w:rsidR="006B5A93">
        <w:t>tar</w:t>
      </w:r>
      <w:r w:rsidR="00F61D3C">
        <w:t xml:space="preserve">get specific results. </w:t>
      </w:r>
      <w:r w:rsidR="005F475F">
        <w:t xml:space="preserve">Below is a comparison of potential </w:t>
      </w:r>
      <w:r w:rsidR="00AE3A02">
        <w:t xml:space="preserve">loss-of-productivity factors </w:t>
      </w:r>
      <w:r w:rsidR="00017016">
        <w:t xml:space="preserve">derived from the MCAA </w:t>
      </w:r>
      <w:r w:rsidR="005840E4">
        <w:t>for the electrical scope.</w:t>
      </w:r>
    </w:p>
    <w:p w14:paraId="5B457C0D" w14:textId="77777777" w:rsidR="005840E4" w:rsidRDefault="005840E4" w:rsidP="00811397"/>
    <w:p w14:paraId="030A55C3" w14:textId="6C3A25A6" w:rsidR="00660EF7" w:rsidRDefault="00660EF7" w:rsidP="00811397">
      <w:r w:rsidRPr="00A80A97">
        <w:t xml:space="preserve">Table </w:t>
      </w:r>
      <w:r w:rsidR="00381300">
        <w:t>7</w:t>
      </w:r>
    </w:p>
    <w:tbl>
      <w:tblPr>
        <w:tblStyle w:val="TableGrid"/>
        <w:tblW w:w="0" w:type="auto"/>
        <w:tblLook w:val="04A0" w:firstRow="1" w:lastRow="0" w:firstColumn="1" w:lastColumn="0" w:noHBand="0" w:noVBand="1"/>
      </w:tblPr>
      <w:tblGrid>
        <w:gridCol w:w="2337"/>
        <w:gridCol w:w="2337"/>
        <w:gridCol w:w="2338"/>
        <w:gridCol w:w="2338"/>
      </w:tblGrid>
      <w:tr w:rsidR="00AC7E8E" w14:paraId="2A07BB93" w14:textId="77777777" w:rsidTr="00933D44">
        <w:tc>
          <w:tcPr>
            <w:tcW w:w="2337" w:type="dxa"/>
            <w:vAlign w:val="center"/>
          </w:tcPr>
          <w:p w14:paraId="47373152" w14:textId="6A7CFE6D" w:rsidR="0040294F" w:rsidRPr="00260691" w:rsidRDefault="00260691" w:rsidP="00933D44">
            <w:pPr>
              <w:jc w:val="center"/>
              <w:rPr>
                <w:b/>
                <w:bCs/>
              </w:rPr>
            </w:pPr>
            <w:r w:rsidRPr="00260691">
              <w:rPr>
                <w:b/>
                <w:bCs/>
              </w:rPr>
              <w:t>Methodology</w:t>
            </w:r>
          </w:p>
        </w:tc>
        <w:tc>
          <w:tcPr>
            <w:tcW w:w="2337" w:type="dxa"/>
            <w:vAlign w:val="center"/>
          </w:tcPr>
          <w:p w14:paraId="2B6BE697" w14:textId="0CD4F977" w:rsidR="0040294F" w:rsidRPr="00260691" w:rsidRDefault="00933D44" w:rsidP="00933D44">
            <w:pPr>
              <w:jc w:val="center"/>
              <w:rPr>
                <w:b/>
                <w:bCs/>
              </w:rPr>
            </w:pPr>
            <w:r w:rsidRPr="00260691">
              <w:rPr>
                <w:b/>
                <w:bCs/>
              </w:rPr>
              <w:t>Minor</w:t>
            </w:r>
          </w:p>
        </w:tc>
        <w:tc>
          <w:tcPr>
            <w:tcW w:w="2338" w:type="dxa"/>
            <w:vAlign w:val="center"/>
          </w:tcPr>
          <w:p w14:paraId="6579F37D" w14:textId="057426CF" w:rsidR="0040294F" w:rsidRPr="00260691" w:rsidRDefault="00933D44" w:rsidP="00933D44">
            <w:pPr>
              <w:jc w:val="center"/>
              <w:rPr>
                <w:b/>
                <w:bCs/>
              </w:rPr>
            </w:pPr>
            <w:r w:rsidRPr="00260691">
              <w:rPr>
                <w:b/>
                <w:bCs/>
              </w:rPr>
              <w:t>Average</w:t>
            </w:r>
          </w:p>
        </w:tc>
        <w:tc>
          <w:tcPr>
            <w:tcW w:w="2338" w:type="dxa"/>
            <w:vAlign w:val="center"/>
          </w:tcPr>
          <w:p w14:paraId="127EEAF0" w14:textId="3972B203" w:rsidR="0040294F" w:rsidRPr="00260691" w:rsidRDefault="00933D44" w:rsidP="00933D44">
            <w:pPr>
              <w:jc w:val="center"/>
              <w:rPr>
                <w:b/>
                <w:bCs/>
              </w:rPr>
            </w:pPr>
            <w:r w:rsidRPr="00260691">
              <w:rPr>
                <w:b/>
                <w:bCs/>
              </w:rPr>
              <w:t>Severe</w:t>
            </w:r>
          </w:p>
        </w:tc>
      </w:tr>
      <w:tr w:rsidR="00AC7E8E" w14:paraId="364DA8EC" w14:textId="77777777" w:rsidTr="00933D44">
        <w:tc>
          <w:tcPr>
            <w:tcW w:w="2337" w:type="dxa"/>
            <w:vAlign w:val="center"/>
          </w:tcPr>
          <w:p w14:paraId="05B3CDB3" w14:textId="20B8A27D" w:rsidR="0040294F" w:rsidRDefault="0040294F" w:rsidP="00933D44">
            <w:pPr>
              <w:jc w:val="center"/>
            </w:pPr>
            <w:r>
              <w:t>2 Largest Factors Applied</w:t>
            </w:r>
          </w:p>
        </w:tc>
        <w:tc>
          <w:tcPr>
            <w:tcW w:w="2337" w:type="dxa"/>
            <w:vAlign w:val="center"/>
          </w:tcPr>
          <w:p w14:paraId="5DE6F097" w14:textId="045D6B63" w:rsidR="0040294F" w:rsidRDefault="00737793" w:rsidP="00933D44">
            <w:pPr>
              <w:jc w:val="center"/>
            </w:pPr>
            <w:r>
              <w:t>20</w:t>
            </w:r>
            <w:r w:rsidR="00596376">
              <w:t>%</w:t>
            </w:r>
          </w:p>
        </w:tc>
        <w:tc>
          <w:tcPr>
            <w:tcW w:w="2338" w:type="dxa"/>
            <w:vAlign w:val="center"/>
          </w:tcPr>
          <w:p w14:paraId="7FA8C344" w14:textId="1965984C" w:rsidR="0040294F" w:rsidRDefault="00737793" w:rsidP="00933D44">
            <w:pPr>
              <w:jc w:val="center"/>
            </w:pPr>
            <w:r>
              <w:t>45</w:t>
            </w:r>
            <w:r w:rsidR="00596376">
              <w:t>%</w:t>
            </w:r>
          </w:p>
        </w:tc>
        <w:tc>
          <w:tcPr>
            <w:tcW w:w="2338" w:type="dxa"/>
            <w:vAlign w:val="center"/>
          </w:tcPr>
          <w:p w14:paraId="085815EC" w14:textId="69D0A6E6" w:rsidR="0040294F" w:rsidRDefault="00737793" w:rsidP="00933D44">
            <w:pPr>
              <w:jc w:val="center"/>
            </w:pPr>
            <w:r>
              <w:t>80</w:t>
            </w:r>
            <w:r w:rsidR="00596376">
              <w:t>%</w:t>
            </w:r>
          </w:p>
        </w:tc>
      </w:tr>
      <w:tr w:rsidR="00AC7E8E" w14:paraId="77553098" w14:textId="77777777" w:rsidTr="00933D44">
        <w:tc>
          <w:tcPr>
            <w:tcW w:w="2337" w:type="dxa"/>
            <w:vAlign w:val="center"/>
          </w:tcPr>
          <w:p w14:paraId="5C562353" w14:textId="663E492F" w:rsidR="0040294F" w:rsidRDefault="0040294F" w:rsidP="00933D44">
            <w:pPr>
              <w:jc w:val="center"/>
            </w:pPr>
            <w:r>
              <w:t>3 Largest Factors Applied</w:t>
            </w:r>
          </w:p>
        </w:tc>
        <w:tc>
          <w:tcPr>
            <w:tcW w:w="2337" w:type="dxa"/>
            <w:vAlign w:val="center"/>
          </w:tcPr>
          <w:p w14:paraId="6F960CD4" w14:textId="0EED5A95" w:rsidR="0040294F" w:rsidRDefault="00737793" w:rsidP="00933D44">
            <w:pPr>
              <w:jc w:val="center"/>
            </w:pPr>
            <w:r>
              <w:t>25</w:t>
            </w:r>
            <w:r w:rsidR="00596376">
              <w:t>%</w:t>
            </w:r>
          </w:p>
        </w:tc>
        <w:tc>
          <w:tcPr>
            <w:tcW w:w="2338" w:type="dxa"/>
            <w:vAlign w:val="center"/>
          </w:tcPr>
          <w:p w14:paraId="6A770D82" w14:textId="699066AF" w:rsidR="0040294F" w:rsidRDefault="00737793" w:rsidP="00933D44">
            <w:pPr>
              <w:jc w:val="center"/>
            </w:pPr>
            <w:r>
              <w:t>60</w:t>
            </w:r>
            <w:r w:rsidR="00596376">
              <w:t>%</w:t>
            </w:r>
          </w:p>
        </w:tc>
        <w:tc>
          <w:tcPr>
            <w:tcW w:w="2338" w:type="dxa"/>
            <w:vAlign w:val="center"/>
          </w:tcPr>
          <w:p w14:paraId="744E3507" w14:textId="049FBAE5" w:rsidR="0040294F" w:rsidRDefault="00737793" w:rsidP="00933D44">
            <w:pPr>
              <w:jc w:val="center"/>
            </w:pPr>
            <w:r>
              <w:t>110</w:t>
            </w:r>
            <w:r w:rsidR="00596376">
              <w:t>%</w:t>
            </w:r>
          </w:p>
        </w:tc>
      </w:tr>
      <w:tr w:rsidR="00AC7E8E" w14:paraId="6069872A" w14:textId="77777777" w:rsidTr="00933D44">
        <w:tc>
          <w:tcPr>
            <w:tcW w:w="2337" w:type="dxa"/>
            <w:vAlign w:val="center"/>
          </w:tcPr>
          <w:p w14:paraId="1A363C85" w14:textId="7E8A7D9E" w:rsidR="0040294F" w:rsidRDefault="0040294F" w:rsidP="00933D44">
            <w:pPr>
              <w:jc w:val="center"/>
            </w:pPr>
            <w:r>
              <w:t>4 Largest Factors Applied</w:t>
            </w:r>
          </w:p>
        </w:tc>
        <w:tc>
          <w:tcPr>
            <w:tcW w:w="2337" w:type="dxa"/>
            <w:vAlign w:val="center"/>
          </w:tcPr>
          <w:p w14:paraId="2DBC7330" w14:textId="42B8C0A6" w:rsidR="0040294F" w:rsidRDefault="00737793" w:rsidP="00933D44">
            <w:pPr>
              <w:jc w:val="center"/>
            </w:pPr>
            <w:r>
              <w:t>30</w:t>
            </w:r>
            <w:r w:rsidR="00596376">
              <w:t>%</w:t>
            </w:r>
          </w:p>
        </w:tc>
        <w:tc>
          <w:tcPr>
            <w:tcW w:w="2338" w:type="dxa"/>
            <w:vAlign w:val="center"/>
          </w:tcPr>
          <w:p w14:paraId="319BCD1C" w14:textId="63C047ED" w:rsidR="0040294F" w:rsidRDefault="00737793" w:rsidP="00933D44">
            <w:pPr>
              <w:jc w:val="center"/>
            </w:pPr>
            <w:r>
              <w:t>75</w:t>
            </w:r>
            <w:r w:rsidR="00596376">
              <w:t>%</w:t>
            </w:r>
          </w:p>
        </w:tc>
        <w:tc>
          <w:tcPr>
            <w:tcW w:w="2338" w:type="dxa"/>
            <w:vAlign w:val="center"/>
          </w:tcPr>
          <w:p w14:paraId="41186863" w14:textId="7ED1A7E6" w:rsidR="0040294F" w:rsidRDefault="00737793" w:rsidP="00933D44">
            <w:pPr>
              <w:jc w:val="center"/>
            </w:pPr>
            <w:r>
              <w:t>135</w:t>
            </w:r>
            <w:r w:rsidR="00596376">
              <w:t>%</w:t>
            </w:r>
          </w:p>
        </w:tc>
      </w:tr>
      <w:tr w:rsidR="00AC7E8E" w14:paraId="48E2BA89" w14:textId="77777777" w:rsidTr="00933D44">
        <w:tc>
          <w:tcPr>
            <w:tcW w:w="2337" w:type="dxa"/>
            <w:vAlign w:val="center"/>
          </w:tcPr>
          <w:p w14:paraId="4B7330FF" w14:textId="220205AB" w:rsidR="0040294F" w:rsidRDefault="0040294F" w:rsidP="00933D44">
            <w:pPr>
              <w:jc w:val="center"/>
            </w:pPr>
            <w:r>
              <w:t>5 Largest Factors Applied</w:t>
            </w:r>
          </w:p>
        </w:tc>
        <w:tc>
          <w:tcPr>
            <w:tcW w:w="2337" w:type="dxa"/>
            <w:vAlign w:val="center"/>
          </w:tcPr>
          <w:p w14:paraId="1D2B7F34" w14:textId="44C374D3" w:rsidR="0040294F" w:rsidRDefault="00737793" w:rsidP="00933D44">
            <w:pPr>
              <w:jc w:val="center"/>
            </w:pPr>
            <w:r>
              <w:t>40</w:t>
            </w:r>
            <w:r w:rsidR="00596376">
              <w:t>%</w:t>
            </w:r>
          </w:p>
        </w:tc>
        <w:tc>
          <w:tcPr>
            <w:tcW w:w="2338" w:type="dxa"/>
            <w:vAlign w:val="center"/>
          </w:tcPr>
          <w:p w14:paraId="28BBBC31" w14:textId="62942EB4" w:rsidR="0040294F" w:rsidRDefault="00737793" w:rsidP="00933D44">
            <w:pPr>
              <w:jc w:val="center"/>
            </w:pPr>
            <w:r>
              <w:t>90</w:t>
            </w:r>
            <w:r w:rsidR="00596376">
              <w:t>%</w:t>
            </w:r>
          </w:p>
        </w:tc>
        <w:tc>
          <w:tcPr>
            <w:tcW w:w="2338" w:type="dxa"/>
            <w:vAlign w:val="center"/>
          </w:tcPr>
          <w:p w14:paraId="452F7686" w14:textId="377BD394" w:rsidR="0040294F" w:rsidRDefault="00737793" w:rsidP="00933D44">
            <w:pPr>
              <w:jc w:val="center"/>
            </w:pPr>
            <w:r>
              <w:t>160</w:t>
            </w:r>
            <w:r w:rsidR="00596376">
              <w:t>%</w:t>
            </w:r>
          </w:p>
        </w:tc>
      </w:tr>
      <w:tr w:rsidR="00B2567E" w14:paraId="4D0C3E96" w14:textId="77777777">
        <w:tc>
          <w:tcPr>
            <w:tcW w:w="2337" w:type="dxa"/>
            <w:vAlign w:val="center"/>
          </w:tcPr>
          <w:p w14:paraId="3D1AFB07" w14:textId="42A040EB" w:rsidR="00E44409" w:rsidRDefault="00E44409" w:rsidP="00933D44">
            <w:pPr>
              <w:jc w:val="center"/>
            </w:pPr>
            <w:r>
              <w:t>Measured Mile Loss of Productivity</w:t>
            </w:r>
          </w:p>
        </w:tc>
        <w:tc>
          <w:tcPr>
            <w:tcW w:w="7013" w:type="dxa"/>
            <w:gridSpan w:val="3"/>
            <w:vAlign w:val="center"/>
          </w:tcPr>
          <w:p w14:paraId="761CE1B8" w14:textId="2D0571EF" w:rsidR="00E44409" w:rsidRDefault="00E44409" w:rsidP="00933D44">
            <w:pPr>
              <w:jc w:val="center"/>
            </w:pPr>
            <w:r>
              <w:t>3</w:t>
            </w:r>
            <w:r w:rsidR="00DB2E3E">
              <w:t>2</w:t>
            </w:r>
            <w:r>
              <w:t>%</w:t>
            </w:r>
          </w:p>
        </w:tc>
      </w:tr>
    </w:tbl>
    <w:p w14:paraId="1FFB2EE9" w14:textId="77777777" w:rsidR="005840E4" w:rsidRDefault="005840E4" w:rsidP="00811397"/>
    <w:p w14:paraId="56CFDCE2" w14:textId="42E33E76" w:rsidR="00A662DE" w:rsidRDefault="000D1DD8" w:rsidP="00811397">
      <w:r>
        <w:t xml:space="preserve">Selecting four or less factors with a </w:t>
      </w:r>
      <w:r w:rsidR="002F4DE3">
        <w:t xml:space="preserve">“minor” severity ranking resulted in a loss of productivity percentage similar to </w:t>
      </w:r>
      <w:r w:rsidR="00E92C30">
        <w:t xml:space="preserve">what was calculated by the </w:t>
      </w:r>
      <w:r w:rsidR="00037BCB">
        <w:t>M</w:t>
      </w:r>
      <w:r w:rsidR="00E92C30">
        <w:t xml:space="preserve">easured </w:t>
      </w:r>
      <w:r w:rsidR="00037BCB">
        <w:t>M</w:t>
      </w:r>
      <w:r w:rsidR="00E92C30">
        <w:t>ile methodology.</w:t>
      </w:r>
      <w:r w:rsidR="002F4DE3">
        <w:t xml:space="preserve"> </w:t>
      </w:r>
    </w:p>
    <w:p w14:paraId="0FC4D688" w14:textId="77777777" w:rsidR="00091CDF" w:rsidRPr="00811397" w:rsidRDefault="00091CDF" w:rsidP="00811397"/>
    <w:p w14:paraId="47F08BB6" w14:textId="77777777" w:rsidR="00077214" w:rsidRPr="00A80A97" w:rsidRDefault="00077214" w:rsidP="00077214">
      <w:pPr>
        <w:pStyle w:val="Heading2"/>
      </w:pPr>
      <w:bookmarkStart w:id="19" w:name="_Toc222041030"/>
      <w:r w:rsidRPr="00A80A97">
        <w:t>Total Cost</w:t>
      </w:r>
      <w:bookmarkEnd w:id="19"/>
    </w:p>
    <w:p w14:paraId="722C9D01" w14:textId="77777777" w:rsidR="00077214" w:rsidRPr="00A80A97" w:rsidRDefault="00077214" w:rsidP="00077214">
      <w:pPr>
        <w:pStyle w:val="Heading3"/>
      </w:pPr>
      <w:bookmarkStart w:id="20" w:name="_Toc222041031"/>
      <w:r w:rsidRPr="00A80A97">
        <w:t>Total Cost Methodology Description</w:t>
      </w:r>
      <w:bookmarkEnd w:id="20"/>
    </w:p>
    <w:p w14:paraId="6F80C81F" w14:textId="30334D8C" w:rsidR="00077214" w:rsidRDefault="00CC744E" w:rsidP="00077214">
      <w:r w:rsidRPr="00A80A97">
        <w:t xml:space="preserve">The </w:t>
      </w:r>
      <w:r w:rsidR="009D7C28" w:rsidRPr="00A80A97">
        <w:t>T</w:t>
      </w:r>
      <w:r w:rsidRPr="00A80A97">
        <w:t xml:space="preserve">otal Cost </w:t>
      </w:r>
      <w:r w:rsidR="00905D81">
        <w:t>m</w:t>
      </w:r>
      <w:r w:rsidRPr="00A80A97">
        <w:t>ethodology</w:t>
      </w:r>
      <w:r w:rsidR="00080C12" w:rsidRPr="00A80A97">
        <w:t xml:space="preserve"> for construction claims calculates damages to a contractor by taking their actual total </w:t>
      </w:r>
      <w:r w:rsidR="00FA0285" w:rsidRPr="00A80A97">
        <w:t>cost</w:t>
      </w:r>
      <w:r w:rsidR="00600CDF" w:rsidRPr="00A80A97">
        <w:t xml:space="preserve"> to complete the </w:t>
      </w:r>
      <w:r w:rsidR="00811397" w:rsidRPr="00A80A97">
        <w:t>project and</w:t>
      </w:r>
      <w:r w:rsidR="00080C12" w:rsidRPr="00A80A97">
        <w:t xml:space="preserve"> then subtracting their bid price f</w:t>
      </w:r>
      <w:r w:rsidR="00FA0285" w:rsidRPr="00A80A97">
        <w:t>rom that amount. This method is typically used if</w:t>
      </w:r>
      <w:r w:rsidR="009D7C28" w:rsidRPr="00A80A97">
        <w:t xml:space="preserve"> </w:t>
      </w:r>
      <w:r w:rsidR="00811397">
        <w:lastRenderedPageBreak/>
        <w:t>certain other data sets are not available</w:t>
      </w:r>
      <w:r w:rsidR="009D7C28" w:rsidRPr="00A80A97">
        <w:t xml:space="preserve">, as it does not account for the </w:t>
      </w:r>
      <w:r w:rsidR="00295DD4" w:rsidRPr="00A80A97">
        <w:t>contractor’s</w:t>
      </w:r>
      <w:r w:rsidR="009D7C28" w:rsidRPr="00A80A97">
        <w:t xml:space="preserve"> performance and assumes that </w:t>
      </w:r>
      <w:r w:rsidR="00295DD4" w:rsidRPr="00A80A97">
        <w:t>there</w:t>
      </w:r>
      <w:r w:rsidR="009D7C28" w:rsidRPr="00A80A97">
        <w:t xml:space="preserve"> were no issues with their bid price.</w:t>
      </w:r>
    </w:p>
    <w:p w14:paraId="5399C919" w14:textId="77777777" w:rsidR="003E754F" w:rsidRDefault="003E754F" w:rsidP="00077214"/>
    <w:p w14:paraId="5137031A" w14:textId="3A01EF83" w:rsidR="003E754F" w:rsidRDefault="003E754F" w:rsidP="003E754F">
      <w:r w:rsidRPr="003E754F">
        <w:t xml:space="preserve">Modified Total </w:t>
      </w:r>
      <w:r w:rsidR="00087795">
        <w:t xml:space="preserve">Cost </w:t>
      </w:r>
      <w:r w:rsidR="00905D81">
        <w:t>m</w:t>
      </w:r>
      <w:r w:rsidRPr="003E754F">
        <w:t xml:space="preserve">ethodology is a variation of the Total Cost </w:t>
      </w:r>
      <w:r w:rsidR="00905D81">
        <w:t>m</w:t>
      </w:r>
      <w:r w:rsidRPr="003E754F">
        <w:t xml:space="preserve">ethodology. Similar to Total Cost, this methodology also relies on the accuracy of the contractor’s bid. However, in contrast to Total Cost, the Modified Total Cost </w:t>
      </w:r>
      <w:r w:rsidR="00905D81">
        <w:t>m</w:t>
      </w:r>
      <w:r w:rsidRPr="003E754F">
        <w:t>ethodology calculates damages to a contractor by adjusting their total cost in some format and then subtracting their bid amount. This is utilized when specific costs are available to be isolated and deemed unfit for the damages analysis. For example, when contractor errors and/or performance issues can objectively be identified and segregated, then the contractor’s total cost can reasonably be modified.</w:t>
      </w:r>
    </w:p>
    <w:p w14:paraId="6B58AA48" w14:textId="77777777" w:rsidR="003E754F" w:rsidRDefault="003E754F" w:rsidP="00077214"/>
    <w:p w14:paraId="5ED34603" w14:textId="654DD99E" w:rsidR="000C40D0" w:rsidRDefault="00201BD9" w:rsidP="009437C5">
      <w:pPr>
        <w:pStyle w:val="Heading3"/>
        <w:keepNext/>
      </w:pPr>
      <w:bookmarkStart w:id="21" w:name="_Toc222041032"/>
      <w:r>
        <w:t>Appropriate</w:t>
      </w:r>
      <w:r w:rsidR="000216D3">
        <w:t xml:space="preserve"> Use of </w:t>
      </w:r>
      <w:r w:rsidR="000C40D0" w:rsidRPr="00A80A97">
        <w:t>Total Cost Methodology</w:t>
      </w:r>
      <w:bookmarkEnd w:id="21"/>
    </w:p>
    <w:p w14:paraId="124363EE" w14:textId="131238E7" w:rsidR="009437C5" w:rsidRDefault="00517B3C" w:rsidP="009437C5">
      <w:r>
        <w:t xml:space="preserve">The Total Cost </w:t>
      </w:r>
      <w:r w:rsidR="00905D81">
        <w:t>m</w:t>
      </w:r>
      <w:r>
        <w:t xml:space="preserve">ethodology </w:t>
      </w:r>
      <w:r w:rsidR="00811397">
        <w:t>is</w:t>
      </w:r>
      <w:r>
        <w:t xml:space="preserve"> often utilized </w:t>
      </w:r>
      <w:r w:rsidR="000216D3">
        <w:t>for</w:t>
      </w:r>
      <w:r>
        <w:t xml:space="preserve"> analyses whe</w:t>
      </w:r>
      <w:r w:rsidR="00190BDE">
        <w:t xml:space="preserve">n more </w:t>
      </w:r>
      <w:r w:rsidR="000216D3">
        <w:t>certain data aspects of data sets are not available</w:t>
      </w:r>
      <w:r w:rsidR="00190BDE">
        <w:t xml:space="preserve">. </w:t>
      </w:r>
      <w:r w:rsidR="000216D3">
        <w:t>One reliable aspect of a</w:t>
      </w:r>
      <w:r w:rsidR="00190BDE">
        <w:t xml:space="preserve"> Total Cost Claim is that </w:t>
      </w:r>
      <w:r w:rsidR="001224F5">
        <w:t xml:space="preserve">a contractor is compensated for their exact amount spent, making </w:t>
      </w:r>
      <w:r w:rsidR="00811397">
        <w:t>them</w:t>
      </w:r>
      <w:r w:rsidR="001224F5">
        <w:t xml:space="preserve"> fully whole</w:t>
      </w:r>
      <w:r w:rsidR="00811397">
        <w:t xml:space="preserve"> for the damages absorbed</w:t>
      </w:r>
      <w:r w:rsidR="001224F5">
        <w:t>.</w:t>
      </w:r>
    </w:p>
    <w:p w14:paraId="514D4FE3" w14:textId="77777777" w:rsidR="001224F5" w:rsidRDefault="001224F5" w:rsidP="009437C5"/>
    <w:p w14:paraId="4BF099CC" w14:textId="36659473" w:rsidR="001224F5" w:rsidRDefault="001224F5" w:rsidP="009437C5">
      <w:r>
        <w:t xml:space="preserve">There are </w:t>
      </w:r>
      <w:r w:rsidR="000216D3">
        <w:t>uncertainties</w:t>
      </w:r>
      <w:r>
        <w:t xml:space="preserve"> with the Total Cost </w:t>
      </w:r>
      <w:r w:rsidR="00905D81">
        <w:t>m</w:t>
      </w:r>
      <w:r>
        <w:t xml:space="preserve">ethodology. </w:t>
      </w:r>
      <w:r w:rsidR="000216D3">
        <w:t xml:space="preserve">For example, </w:t>
      </w:r>
      <w:r w:rsidR="00914504">
        <w:t xml:space="preserve">Total Cost relies on the contractor’s bid being fully reasonable and accurate. Further, </w:t>
      </w:r>
      <w:r w:rsidR="00AB0439">
        <w:t>this methodology does not factor in contractor performance</w:t>
      </w:r>
      <w:r w:rsidR="0027116C">
        <w:t xml:space="preserve"> issues</w:t>
      </w:r>
      <w:r w:rsidR="00AB0439">
        <w:t xml:space="preserve">. It assumes the contractor </w:t>
      </w:r>
      <w:r w:rsidR="0099458E">
        <w:t>performed flawlessly</w:t>
      </w:r>
      <w:r w:rsidR="0027116C">
        <w:t>.</w:t>
      </w:r>
    </w:p>
    <w:p w14:paraId="02DA9AF1" w14:textId="77777777" w:rsidR="003E754F" w:rsidRDefault="003E754F" w:rsidP="003E754F"/>
    <w:p w14:paraId="10B83694" w14:textId="0BAB5A48" w:rsidR="003E754F" w:rsidRPr="003E754F" w:rsidRDefault="003E754F" w:rsidP="003E754F">
      <w:r w:rsidRPr="003E754F">
        <w:t xml:space="preserve">The Modified Total Cost </w:t>
      </w:r>
      <w:r w:rsidR="00905D81">
        <w:t>m</w:t>
      </w:r>
      <w:r w:rsidRPr="003E754F">
        <w:t>ethodology has some certainties over Total Cost as the analyst has the ability to adjust for necessary issues like flaws in a contractor’s bid and/or portions of their performance.</w:t>
      </w:r>
    </w:p>
    <w:p w14:paraId="06127461" w14:textId="77777777" w:rsidR="003E754F" w:rsidRPr="003E754F" w:rsidRDefault="003E754F" w:rsidP="003E754F"/>
    <w:p w14:paraId="0D0771F3" w14:textId="77777777" w:rsidR="003E754F" w:rsidRPr="003E754F" w:rsidRDefault="003E754F" w:rsidP="003E754F">
      <w:r w:rsidRPr="003E754F">
        <w:t>While more customized than Total Cost, Modified Total Cost still has uncertainties. For example, not all bid and performance issues are able to be objectively segregated out. Further, not all issues are transparent and known, thus many remained masked in the overall cost of the Project.</w:t>
      </w:r>
    </w:p>
    <w:p w14:paraId="26C5F691" w14:textId="77777777" w:rsidR="003E754F" w:rsidRPr="003E754F" w:rsidRDefault="003E754F" w:rsidP="003E754F"/>
    <w:p w14:paraId="30D9F6C5" w14:textId="780C6389" w:rsidR="0001236C" w:rsidRDefault="00077214" w:rsidP="000C40D0">
      <w:pPr>
        <w:pStyle w:val="Heading3"/>
      </w:pPr>
      <w:bookmarkStart w:id="22" w:name="_Toc222041033"/>
      <w:r w:rsidRPr="00A80A97">
        <w:t>Total Cost Methodology Results</w:t>
      </w:r>
      <w:bookmarkEnd w:id="22"/>
    </w:p>
    <w:p w14:paraId="568C346E" w14:textId="77549674" w:rsidR="00E014BE" w:rsidRDefault="004258DD" w:rsidP="004258DD">
      <w:r>
        <w:t xml:space="preserve">Below is a table of the loss of productivity percentages based upon the </w:t>
      </w:r>
      <w:r w:rsidR="00745A7A">
        <w:t>T</w:t>
      </w:r>
      <w:r>
        <w:t xml:space="preserve">otal </w:t>
      </w:r>
      <w:r w:rsidR="00745A7A">
        <w:t>C</w:t>
      </w:r>
      <w:r>
        <w:t>ost methodology</w:t>
      </w:r>
      <w:r w:rsidR="00B9715F">
        <w:t xml:space="preserve"> (along with the comparison to </w:t>
      </w:r>
      <w:r w:rsidR="004906FE">
        <w:t>the Measured Mile results)</w:t>
      </w:r>
      <w:r>
        <w:t>.</w:t>
      </w:r>
      <w:r w:rsidR="00E014BE">
        <w:t xml:space="preserve"> The percentages below </w:t>
      </w:r>
      <w:r w:rsidR="006853F6">
        <w:t>are</w:t>
      </w:r>
      <w:r w:rsidR="00E014BE">
        <w:t xml:space="preserve"> a ratio of lost hours compared against the expected hours</w:t>
      </w:r>
      <w:r w:rsidR="00FA4A72">
        <w:t xml:space="preserve">. For example, the </w:t>
      </w:r>
      <w:r w:rsidR="004906FE">
        <w:t>T</w:t>
      </w:r>
      <w:r w:rsidR="00FA4A72">
        <w:t xml:space="preserve">otal </w:t>
      </w:r>
      <w:r w:rsidR="004906FE">
        <w:t>C</w:t>
      </w:r>
      <w:r w:rsidR="00FA4A72">
        <w:t xml:space="preserve">ost methodology </w:t>
      </w:r>
      <w:r w:rsidR="00B2111C">
        <w:t>indicates that for every 100 craft hours earned</w:t>
      </w:r>
      <w:r w:rsidR="00EC6910">
        <w:t xml:space="preserve"> on Structural Steel</w:t>
      </w:r>
      <w:r w:rsidR="00B2111C">
        <w:t>, the contractor incurred a loss of</w:t>
      </w:r>
      <w:r w:rsidR="00FA4A72">
        <w:t xml:space="preserve"> 41.</w:t>
      </w:r>
    </w:p>
    <w:p w14:paraId="145CE2F4" w14:textId="77777777" w:rsidR="00E014BE" w:rsidRDefault="00E014BE" w:rsidP="004258DD"/>
    <w:p w14:paraId="027D56B2" w14:textId="218B734F" w:rsidR="004258DD" w:rsidRDefault="00581F3F" w:rsidP="004258DD">
      <w:r>
        <w:t>The Total Cost</w:t>
      </w:r>
      <w:r w:rsidR="00D13843">
        <w:t xml:space="preserve"> methodology </w:t>
      </w:r>
      <w:proofErr w:type="gramStart"/>
      <w:r w:rsidR="00D13843">
        <w:t xml:space="preserve">takes into </w:t>
      </w:r>
      <w:r w:rsidR="00B2111C">
        <w:t>account</w:t>
      </w:r>
      <w:proofErr w:type="gramEnd"/>
      <w:r w:rsidR="00B2111C">
        <w:t xml:space="preserve"> the </w:t>
      </w:r>
      <w:r w:rsidR="00C556E1">
        <w:t>C</w:t>
      </w:r>
      <w:r w:rsidR="00B2111C">
        <w:t xml:space="preserve">ontractor’s performance, including actual performance that exceeded the budget or estimate. </w:t>
      </w:r>
      <w:r w:rsidR="00507FCF">
        <w:t xml:space="preserve">It is plausible </w:t>
      </w:r>
      <w:r w:rsidR="00C556E1">
        <w:t>in</w:t>
      </w:r>
      <w:r w:rsidR="00507FCF">
        <w:t xml:space="preserve"> this methodology for the contractor to offset losses in productivity </w:t>
      </w:r>
      <w:r w:rsidR="00AE0959">
        <w:t>caused by the owner with its own financial gains for scopes which its productivity was greater than what was budgeted. On the other hand, this methodology has the potential to conflate its own impacts and losses in productivity to those caused by the owner.</w:t>
      </w:r>
    </w:p>
    <w:p w14:paraId="441F236C" w14:textId="77777777" w:rsidR="004258DD" w:rsidRDefault="004258DD" w:rsidP="004258DD"/>
    <w:p w14:paraId="2384CE20" w14:textId="6CAEF57A" w:rsidR="00660EF7" w:rsidRDefault="00660EF7" w:rsidP="004258DD">
      <w:r w:rsidRPr="00A80A97">
        <w:t xml:space="preserve">Table </w:t>
      </w:r>
      <w:r w:rsidR="0094029B">
        <w:t>8</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AC7E8E" w14:paraId="747C12DF" w14:textId="77777777">
        <w:tc>
          <w:tcPr>
            <w:tcW w:w="1558" w:type="dxa"/>
            <w:vAlign w:val="center"/>
          </w:tcPr>
          <w:p w14:paraId="088DC4F0" w14:textId="19D6C657" w:rsidR="00AB103C" w:rsidRPr="00260691" w:rsidRDefault="004258DD" w:rsidP="00CC4553">
            <w:pPr>
              <w:jc w:val="center"/>
              <w:rPr>
                <w:b/>
                <w:bCs/>
              </w:rPr>
            </w:pPr>
            <w:r w:rsidRPr="00260691">
              <w:rPr>
                <w:b/>
                <w:bCs/>
              </w:rPr>
              <w:t>Methodology</w:t>
            </w:r>
          </w:p>
        </w:tc>
        <w:tc>
          <w:tcPr>
            <w:tcW w:w="1558" w:type="dxa"/>
            <w:vAlign w:val="center"/>
          </w:tcPr>
          <w:p w14:paraId="41C8ECC0" w14:textId="77777777" w:rsidR="00AB103C" w:rsidRPr="00260691" w:rsidRDefault="00AB103C" w:rsidP="00CC4553">
            <w:pPr>
              <w:jc w:val="center"/>
              <w:rPr>
                <w:b/>
                <w:bCs/>
              </w:rPr>
            </w:pPr>
            <w:r w:rsidRPr="00260691">
              <w:rPr>
                <w:b/>
                <w:bCs/>
              </w:rPr>
              <w:t>Electrical</w:t>
            </w:r>
          </w:p>
        </w:tc>
        <w:tc>
          <w:tcPr>
            <w:tcW w:w="1558" w:type="dxa"/>
            <w:vAlign w:val="center"/>
          </w:tcPr>
          <w:p w14:paraId="542F591E" w14:textId="77777777" w:rsidR="00AB103C" w:rsidRPr="00260691" w:rsidRDefault="00AB103C" w:rsidP="00CC4553">
            <w:pPr>
              <w:jc w:val="center"/>
              <w:rPr>
                <w:b/>
                <w:bCs/>
              </w:rPr>
            </w:pPr>
            <w:r w:rsidRPr="00260691">
              <w:rPr>
                <w:b/>
                <w:bCs/>
              </w:rPr>
              <w:t>Large Equipment</w:t>
            </w:r>
          </w:p>
        </w:tc>
        <w:tc>
          <w:tcPr>
            <w:tcW w:w="1558" w:type="dxa"/>
            <w:vAlign w:val="center"/>
          </w:tcPr>
          <w:p w14:paraId="377AA5CC" w14:textId="77777777" w:rsidR="00AB103C" w:rsidRPr="00260691" w:rsidRDefault="00AB103C" w:rsidP="00CC4553">
            <w:pPr>
              <w:jc w:val="center"/>
              <w:rPr>
                <w:b/>
                <w:bCs/>
              </w:rPr>
            </w:pPr>
            <w:r w:rsidRPr="00260691">
              <w:rPr>
                <w:b/>
                <w:bCs/>
              </w:rPr>
              <w:t>Mechanical Piping</w:t>
            </w:r>
          </w:p>
        </w:tc>
        <w:tc>
          <w:tcPr>
            <w:tcW w:w="1559" w:type="dxa"/>
            <w:vAlign w:val="center"/>
          </w:tcPr>
          <w:p w14:paraId="77374B0A" w14:textId="77777777" w:rsidR="00AB103C" w:rsidRPr="00260691" w:rsidRDefault="00AB103C" w:rsidP="00CC4553">
            <w:pPr>
              <w:jc w:val="center"/>
              <w:rPr>
                <w:b/>
                <w:bCs/>
              </w:rPr>
            </w:pPr>
            <w:r w:rsidRPr="00260691">
              <w:rPr>
                <w:b/>
                <w:bCs/>
              </w:rPr>
              <w:t>Structural Steel</w:t>
            </w:r>
          </w:p>
        </w:tc>
        <w:tc>
          <w:tcPr>
            <w:tcW w:w="1559" w:type="dxa"/>
            <w:vAlign w:val="center"/>
          </w:tcPr>
          <w:p w14:paraId="1F46A6DC" w14:textId="77777777" w:rsidR="00AB103C" w:rsidRPr="00260691" w:rsidRDefault="00AB103C" w:rsidP="00CC4553">
            <w:pPr>
              <w:jc w:val="center"/>
              <w:rPr>
                <w:b/>
                <w:bCs/>
              </w:rPr>
            </w:pPr>
            <w:r w:rsidRPr="00260691">
              <w:rPr>
                <w:b/>
                <w:bCs/>
              </w:rPr>
              <w:t>All Scopes</w:t>
            </w:r>
          </w:p>
        </w:tc>
      </w:tr>
      <w:tr w:rsidR="00AC7E8E" w14:paraId="2FFDFA2B" w14:textId="77777777">
        <w:tc>
          <w:tcPr>
            <w:tcW w:w="1558" w:type="dxa"/>
            <w:vAlign w:val="center"/>
          </w:tcPr>
          <w:p w14:paraId="4BABDDB2" w14:textId="2A1EC382" w:rsidR="00AB103C" w:rsidRDefault="00AB103C" w:rsidP="00CC4553">
            <w:pPr>
              <w:jc w:val="center"/>
            </w:pPr>
            <w:r>
              <w:t>Total Cost Methodology</w:t>
            </w:r>
          </w:p>
        </w:tc>
        <w:tc>
          <w:tcPr>
            <w:tcW w:w="1558" w:type="dxa"/>
            <w:vAlign w:val="center"/>
          </w:tcPr>
          <w:p w14:paraId="1B64CA1C" w14:textId="03849205" w:rsidR="00AB103C" w:rsidRDefault="004258DD" w:rsidP="00CC4553">
            <w:pPr>
              <w:jc w:val="center"/>
            </w:pPr>
            <w:r>
              <w:t>0%</w:t>
            </w:r>
          </w:p>
        </w:tc>
        <w:tc>
          <w:tcPr>
            <w:tcW w:w="1558" w:type="dxa"/>
            <w:vAlign w:val="center"/>
          </w:tcPr>
          <w:p w14:paraId="04AA62DA" w14:textId="7C1B703D" w:rsidR="00AB103C" w:rsidRDefault="004258DD" w:rsidP="00CC4553">
            <w:pPr>
              <w:jc w:val="center"/>
            </w:pPr>
            <w:r>
              <w:t>135%</w:t>
            </w:r>
          </w:p>
        </w:tc>
        <w:tc>
          <w:tcPr>
            <w:tcW w:w="1558" w:type="dxa"/>
            <w:vAlign w:val="center"/>
          </w:tcPr>
          <w:p w14:paraId="179EEE09" w14:textId="1F89BDDB" w:rsidR="00AB103C" w:rsidRDefault="004258DD" w:rsidP="00CC4553">
            <w:pPr>
              <w:jc w:val="center"/>
            </w:pPr>
            <w:r>
              <w:t>55%</w:t>
            </w:r>
          </w:p>
        </w:tc>
        <w:tc>
          <w:tcPr>
            <w:tcW w:w="1559" w:type="dxa"/>
            <w:vAlign w:val="center"/>
          </w:tcPr>
          <w:p w14:paraId="471E8285" w14:textId="20F4A163" w:rsidR="00AB103C" w:rsidRDefault="004258DD" w:rsidP="00CC4553">
            <w:pPr>
              <w:jc w:val="center"/>
            </w:pPr>
            <w:r>
              <w:t>41%</w:t>
            </w:r>
          </w:p>
        </w:tc>
        <w:tc>
          <w:tcPr>
            <w:tcW w:w="1559" w:type="dxa"/>
            <w:vAlign w:val="center"/>
          </w:tcPr>
          <w:p w14:paraId="78820B72" w14:textId="284D942C" w:rsidR="00AB103C" w:rsidRDefault="004258DD" w:rsidP="00CC4553">
            <w:pPr>
              <w:jc w:val="center"/>
            </w:pPr>
            <w:r>
              <w:t>51%</w:t>
            </w:r>
          </w:p>
        </w:tc>
      </w:tr>
      <w:tr w:rsidR="00AC7E8E" w14:paraId="74B04C70" w14:textId="77777777">
        <w:tc>
          <w:tcPr>
            <w:tcW w:w="1558" w:type="dxa"/>
            <w:vAlign w:val="center"/>
          </w:tcPr>
          <w:p w14:paraId="56ECE3C1" w14:textId="77777777" w:rsidR="00AB103C" w:rsidRDefault="00AB103C" w:rsidP="00CC4553">
            <w:pPr>
              <w:jc w:val="center"/>
            </w:pPr>
            <w:r>
              <w:t>Measured Mile Loss of Productivity</w:t>
            </w:r>
          </w:p>
        </w:tc>
        <w:tc>
          <w:tcPr>
            <w:tcW w:w="1558" w:type="dxa"/>
            <w:vAlign w:val="center"/>
          </w:tcPr>
          <w:p w14:paraId="58EA4EEF" w14:textId="77777777" w:rsidR="00AB103C" w:rsidRDefault="00AB103C" w:rsidP="00CC4553">
            <w:pPr>
              <w:jc w:val="center"/>
            </w:pPr>
            <w:r>
              <w:t>33%</w:t>
            </w:r>
          </w:p>
        </w:tc>
        <w:tc>
          <w:tcPr>
            <w:tcW w:w="1558" w:type="dxa"/>
            <w:vAlign w:val="center"/>
          </w:tcPr>
          <w:p w14:paraId="2FE30F47" w14:textId="77777777" w:rsidR="00AB103C" w:rsidRDefault="00AB103C" w:rsidP="00CC4553">
            <w:pPr>
              <w:jc w:val="center"/>
            </w:pPr>
            <w:r>
              <w:t>54%</w:t>
            </w:r>
          </w:p>
        </w:tc>
        <w:tc>
          <w:tcPr>
            <w:tcW w:w="1558" w:type="dxa"/>
            <w:vAlign w:val="center"/>
          </w:tcPr>
          <w:p w14:paraId="34CDD236" w14:textId="77777777" w:rsidR="00AB103C" w:rsidRDefault="00AB103C" w:rsidP="00CC4553">
            <w:pPr>
              <w:jc w:val="center"/>
            </w:pPr>
            <w:r>
              <w:t>37%</w:t>
            </w:r>
          </w:p>
        </w:tc>
        <w:tc>
          <w:tcPr>
            <w:tcW w:w="1559" w:type="dxa"/>
            <w:vAlign w:val="center"/>
          </w:tcPr>
          <w:p w14:paraId="57063D07" w14:textId="77777777" w:rsidR="00AB103C" w:rsidRDefault="00AB103C" w:rsidP="00CC4553">
            <w:pPr>
              <w:jc w:val="center"/>
            </w:pPr>
            <w:r>
              <w:t>28%</w:t>
            </w:r>
          </w:p>
        </w:tc>
        <w:tc>
          <w:tcPr>
            <w:tcW w:w="1559" w:type="dxa"/>
            <w:vAlign w:val="center"/>
          </w:tcPr>
          <w:p w14:paraId="25602676" w14:textId="77777777" w:rsidR="00AB103C" w:rsidRDefault="00AB103C" w:rsidP="00CC4553">
            <w:pPr>
              <w:jc w:val="center"/>
            </w:pPr>
            <w:r>
              <w:t>32%</w:t>
            </w:r>
          </w:p>
        </w:tc>
      </w:tr>
    </w:tbl>
    <w:p w14:paraId="6E5D40CF" w14:textId="77777777" w:rsidR="00AE0959" w:rsidRDefault="00AE0959" w:rsidP="00AE0959"/>
    <w:p w14:paraId="3291627C" w14:textId="27F256F4" w:rsidR="00AA71E3" w:rsidRDefault="00F4634D" w:rsidP="00AE0959">
      <w:r>
        <w:lastRenderedPageBreak/>
        <w:t>In this case study, the contractor experienced a 33% loss of productivity in the execution of the electrical scope, as calculated using</w:t>
      </w:r>
      <w:r w:rsidR="002B78D4">
        <w:t xml:space="preserve"> the Measured Mile </w:t>
      </w:r>
      <w:r w:rsidR="001358AD">
        <w:t>methodology</w:t>
      </w:r>
      <w:r w:rsidR="002B78D4">
        <w:t>. The Total Cost methodolog</w:t>
      </w:r>
      <w:r w:rsidR="001358AD">
        <w:t xml:space="preserve">y </w:t>
      </w:r>
      <w:r>
        <w:t>estimated a 0% loss in productivity</w:t>
      </w:r>
      <w:r w:rsidR="001358AD">
        <w:t xml:space="preserve">. This is an example </w:t>
      </w:r>
      <w:r>
        <w:t>where the Contractor’s actual productivity during periods of little to no owner-caused</w:t>
      </w:r>
      <w:r w:rsidR="001358AD">
        <w:t xml:space="preserve"> impacts e</w:t>
      </w:r>
      <w:r>
        <w:t xml:space="preserve">xceeded what the budget was based upon. Had the </w:t>
      </w:r>
      <w:r w:rsidR="00564A86">
        <w:t>C</w:t>
      </w:r>
      <w:r>
        <w:t xml:space="preserve">ontractor elected to use the Total Cost methodology, the contractor would essentially be “healing the wounds” caused by the </w:t>
      </w:r>
      <w:r w:rsidR="00564A86">
        <w:t>O</w:t>
      </w:r>
      <w:r>
        <w:t>wner.</w:t>
      </w:r>
    </w:p>
    <w:p w14:paraId="277B59BB" w14:textId="77777777" w:rsidR="006A497C" w:rsidRDefault="006A497C" w:rsidP="00AE0959"/>
    <w:p w14:paraId="7FF95520" w14:textId="6B8BD243" w:rsidR="006A497C" w:rsidRDefault="006A497C" w:rsidP="00AE0959">
      <w:r>
        <w:t xml:space="preserve">The other trades exhibit different trends. The Total Cost </w:t>
      </w:r>
      <w:r w:rsidR="006853F6">
        <w:t xml:space="preserve">calculated </w:t>
      </w:r>
      <w:r>
        <w:t xml:space="preserve">losses in productivity for the other trades show a greater </w:t>
      </w:r>
      <w:r w:rsidR="006853F6">
        <w:t>than those calculated by the Measured Mile methodology.</w:t>
      </w:r>
      <w:r w:rsidR="009F7E1B">
        <w:t xml:space="preserve"> </w:t>
      </w:r>
      <w:r w:rsidR="0099640D">
        <w:t>Applying the Total Cost methodology would potentially lead to a false claim, a situation which the Contractor requests payment for damages it is not entitled to recover.</w:t>
      </w:r>
    </w:p>
    <w:p w14:paraId="16CD727B" w14:textId="77777777" w:rsidR="00D21A63" w:rsidRDefault="00D21A63" w:rsidP="00AE0959"/>
    <w:p w14:paraId="14471F81" w14:textId="7340DB9A" w:rsidR="00CD6E33" w:rsidRPr="00A80A97" w:rsidRDefault="00CD6E33" w:rsidP="000C40D0">
      <w:pPr>
        <w:pStyle w:val="Heading2"/>
        <w:keepNext/>
      </w:pPr>
      <w:bookmarkStart w:id="23" w:name="_Toc222041034"/>
      <w:r w:rsidRPr="00A80A97">
        <w:t>Ibbs</w:t>
      </w:r>
      <w:r w:rsidR="00E92937" w:rsidRPr="00A80A97">
        <w:t xml:space="preserve"> </w:t>
      </w:r>
      <w:r w:rsidR="00FA2411">
        <w:t>Productivity Formula</w:t>
      </w:r>
      <w:bookmarkEnd w:id="23"/>
    </w:p>
    <w:p w14:paraId="7BCBF779" w14:textId="6B7FAFC4" w:rsidR="00742D6B" w:rsidRPr="00A80A97" w:rsidRDefault="00742D6B" w:rsidP="00742D6B">
      <w:pPr>
        <w:pStyle w:val="Heading3"/>
      </w:pPr>
      <w:bookmarkStart w:id="24" w:name="_Toc222041035"/>
      <w:r w:rsidRPr="00A80A97">
        <w:t xml:space="preserve">Ibbs </w:t>
      </w:r>
      <w:r w:rsidR="00FA2411" w:rsidRPr="00FA2411">
        <w:t>Productivity Formula</w:t>
      </w:r>
      <w:r w:rsidR="0039522D">
        <w:t xml:space="preserve"> </w:t>
      </w:r>
      <w:r w:rsidRPr="00A80A97">
        <w:t>Methodology Description</w:t>
      </w:r>
      <w:bookmarkEnd w:id="24"/>
    </w:p>
    <w:p w14:paraId="5723CB15" w14:textId="74392803" w:rsidR="00EC4432" w:rsidRDefault="00432134" w:rsidP="00EC4432">
      <w:pPr>
        <w:rPr>
          <w:rFonts w:ascii="Aptos Narrow" w:hAnsi="Aptos Narrow"/>
          <w:color w:val="000000"/>
          <w:sz w:val="22"/>
          <w:szCs w:val="22"/>
        </w:rPr>
      </w:pPr>
      <w:r w:rsidRPr="00A80A97">
        <w:t xml:space="preserve">The Ibbs </w:t>
      </w:r>
      <w:r w:rsidR="0039522D">
        <w:t>Productivity Formula m</w:t>
      </w:r>
      <w:r w:rsidRPr="00A80A97">
        <w:t>ethodology</w:t>
      </w:r>
      <w:r w:rsidR="0039522D">
        <w:t xml:space="preserve"> (“Ibbs methodology”)</w:t>
      </w:r>
      <w:r w:rsidRPr="00A80A97">
        <w:t xml:space="preserve"> </w:t>
      </w:r>
      <w:r w:rsidR="006A170D" w:rsidRPr="00A80A97">
        <w:t>is a loss of productivity methodology developed by Dr. William Ibbs.</w:t>
      </w:r>
      <w:r w:rsidR="00C4380A" w:rsidRPr="00A80A97">
        <w:t xml:space="preserve"> The methodology</w:t>
      </w:r>
      <w:r w:rsidR="007079A0" w:rsidRPr="00A80A97">
        <w:t xml:space="preserve"> develops an inefficiency percentage by</w:t>
      </w:r>
      <w:r w:rsidR="006351A9" w:rsidRPr="00A80A97">
        <w:t xml:space="preserve"> </w:t>
      </w:r>
      <w:r w:rsidR="00365DBF" w:rsidRPr="00A80A97">
        <w:t xml:space="preserve">first developing the </w:t>
      </w:r>
      <w:r w:rsidR="00811397" w:rsidRPr="00811397">
        <w:rPr>
          <w:i/>
          <w:iCs/>
        </w:rPr>
        <w:t>P</w:t>
      </w:r>
      <w:r w:rsidR="00365DBF" w:rsidRPr="00811397">
        <w:rPr>
          <w:i/>
          <w:iCs/>
        </w:rPr>
        <w:t xml:space="preserve">ercent </w:t>
      </w:r>
      <w:r w:rsidR="00811397" w:rsidRPr="00811397">
        <w:rPr>
          <w:i/>
          <w:iCs/>
        </w:rPr>
        <w:t>C</w:t>
      </w:r>
      <w:r w:rsidR="00365DBF" w:rsidRPr="00811397">
        <w:rPr>
          <w:i/>
          <w:iCs/>
        </w:rPr>
        <w:t>hange</w:t>
      </w:r>
      <w:r w:rsidR="00365DBF" w:rsidRPr="00A80A97">
        <w:t xml:space="preserve"> by </w:t>
      </w:r>
      <w:r w:rsidR="009F4D58" w:rsidRPr="00A80A97">
        <w:t>dividing the change order hours by the total hours.</w:t>
      </w:r>
      <w:r w:rsidR="00536363">
        <w:t xml:space="preserve"> The </w:t>
      </w:r>
      <w:r w:rsidR="00536363" w:rsidRPr="00811397">
        <w:rPr>
          <w:i/>
          <w:iCs/>
        </w:rPr>
        <w:t>Percent Change</w:t>
      </w:r>
      <w:r w:rsidR="00536363">
        <w:t xml:space="preserve"> is implemented in the following Ibbs Calculation to pl</w:t>
      </w:r>
      <w:r w:rsidR="000D2FB8">
        <w:t xml:space="preserve">ot on the Y Axis: </w:t>
      </w:r>
      <w:r w:rsidR="00536363">
        <w:t xml:space="preserve"> </w:t>
      </w:r>
      <w:r w:rsidR="000D2FB8" w:rsidRPr="00A80A97">
        <w:rPr>
          <w:rFonts w:ascii="Aptos Narrow" w:hAnsi="Aptos Narrow"/>
          <w:color w:val="000000"/>
          <w:sz w:val="22"/>
          <w:szCs w:val="22"/>
        </w:rPr>
        <w:t>Y=2.4621D</w:t>
      </w:r>
      <w:r w:rsidR="000D2FB8" w:rsidRPr="00A80A97">
        <w:rPr>
          <w:rFonts w:ascii="Aptos Narrow" w:hAnsi="Aptos Narrow"/>
          <w:color w:val="000000"/>
          <w:sz w:val="22"/>
          <w:szCs w:val="22"/>
          <w:vertAlign w:val="superscript"/>
        </w:rPr>
        <w:t>2</w:t>
      </w:r>
      <w:r w:rsidR="000D2FB8" w:rsidRPr="00A80A97">
        <w:rPr>
          <w:rFonts w:ascii="Aptos Narrow" w:hAnsi="Aptos Narrow"/>
          <w:color w:val="000000"/>
          <w:sz w:val="22"/>
          <w:szCs w:val="22"/>
        </w:rPr>
        <w:t xml:space="preserve"> - 2.169D + 1.0589</w:t>
      </w:r>
      <w:r w:rsidR="000D2FB8">
        <w:rPr>
          <w:rFonts w:ascii="Aptos Narrow" w:hAnsi="Aptos Narrow"/>
          <w:color w:val="000000"/>
          <w:sz w:val="22"/>
          <w:szCs w:val="22"/>
        </w:rPr>
        <w:t xml:space="preserve">. Table 4 </w:t>
      </w:r>
      <w:r w:rsidR="00D07ECE">
        <w:rPr>
          <w:rFonts w:ascii="Aptos Narrow" w:hAnsi="Aptos Narrow"/>
          <w:color w:val="000000"/>
          <w:sz w:val="22"/>
          <w:szCs w:val="22"/>
        </w:rPr>
        <w:t xml:space="preserve">and Figure 1 </w:t>
      </w:r>
      <w:r w:rsidR="000D2FB8">
        <w:rPr>
          <w:rFonts w:ascii="Aptos Narrow" w:hAnsi="Aptos Narrow"/>
          <w:color w:val="000000"/>
          <w:sz w:val="22"/>
          <w:szCs w:val="22"/>
        </w:rPr>
        <w:t xml:space="preserve">below </w:t>
      </w:r>
      <w:r w:rsidR="00D07ECE">
        <w:rPr>
          <w:rFonts w:ascii="Aptos Narrow" w:hAnsi="Aptos Narrow"/>
          <w:color w:val="000000"/>
          <w:sz w:val="22"/>
          <w:szCs w:val="22"/>
        </w:rPr>
        <w:t>show</w:t>
      </w:r>
      <w:r w:rsidR="000D2FB8">
        <w:rPr>
          <w:rFonts w:ascii="Aptos Narrow" w:hAnsi="Aptos Narrow"/>
          <w:color w:val="000000"/>
          <w:sz w:val="22"/>
          <w:szCs w:val="22"/>
        </w:rPr>
        <w:t xml:space="preserve"> an example of the calculation</w:t>
      </w:r>
      <w:r w:rsidR="00FF4A3F">
        <w:rPr>
          <w:rFonts w:ascii="Aptos Narrow" w:hAnsi="Aptos Narrow"/>
          <w:color w:val="000000"/>
          <w:sz w:val="22"/>
          <w:szCs w:val="22"/>
        </w:rPr>
        <w:t xml:space="preserve"> in use.</w:t>
      </w:r>
    </w:p>
    <w:p w14:paraId="75C1941C" w14:textId="77777777" w:rsidR="00FF4A3F" w:rsidRPr="00A80A97" w:rsidRDefault="00FF4A3F" w:rsidP="00EC4432"/>
    <w:p w14:paraId="1799339B" w14:textId="1F02C5B6" w:rsidR="00D56608" w:rsidRPr="00A80A97" w:rsidRDefault="00FF4A3F" w:rsidP="00350AC0">
      <w:r>
        <w:t xml:space="preserve">Table </w:t>
      </w:r>
      <w:r w:rsidR="007C75CD">
        <w:t>9</w:t>
      </w:r>
    </w:p>
    <w:tbl>
      <w:tblPr>
        <w:tblW w:w="5000" w:type="pct"/>
        <w:jc w:val="center"/>
        <w:tblLook w:val="04A0" w:firstRow="1" w:lastRow="0" w:firstColumn="1" w:lastColumn="0" w:noHBand="0" w:noVBand="1"/>
      </w:tblPr>
      <w:tblGrid>
        <w:gridCol w:w="748"/>
        <w:gridCol w:w="6820"/>
        <w:gridCol w:w="1782"/>
      </w:tblGrid>
      <w:tr w:rsidR="001A4BAA" w:rsidRPr="006D2CC5" w14:paraId="339D7417" w14:textId="77777777" w:rsidTr="00350AC0">
        <w:trPr>
          <w:trHeight w:val="300"/>
          <w:tblHeader/>
          <w:jc w:val="center"/>
        </w:trPr>
        <w:tc>
          <w:tcPr>
            <w:tcW w:w="5000" w:type="pct"/>
            <w:gridSpan w:val="3"/>
            <w:tcBorders>
              <w:top w:val="single" w:sz="4" w:space="0" w:color="auto"/>
              <w:left w:val="single" w:sz="4" w:space="0" w:color="auto"/>
              <w:bottom w:val="single" w:sz="4" w:space="0" w:color="auto"/>
              <w:right w:val="single" w:sz="4" w:space="0" w:color="auto"/>
            </w:tcBorders>
            <w:noWrap/>
            <w:vAlign w:val="bottom"/>
            <w:hideMark/>
          </w:tcPr>
          <w:p w14:paraId="0AB3ED26" w14:textId="7DCFE59E" w:rsidR="0063271F" w:rsidRPr="006D2CC5" w:rsidRDefault="0063271F" w:rsidP="0063271F">
            <w:pPr>
              <w:jc w:val="center"/>
              <w:rPr>
                <w:rFonts w:asciiTheme="minorHAnsi" w:hAnsiTheme="minorHAnsi" w:cstheme="minorHAnsi"/>
                <w:b/>
                <w:bCs/>
                <w:color w:val="000000"/>
                <w:szCs w:val="20"/>
              </w:rPr>
            </w:pPr>
            <w:r w:rsidRPr="006D2CC5">
              <w:rPr>
                <w:rFonts w:asciiTheme="minorHAnsi" w:hAnsiTheme="minorHAnsi" w:cstheme="minorHAnsi"/>
                <w:b/>
                <w:bCs/>
                <w:color w:val="000000"/>
                <w:szCs w:val="20"/>
              </w:rPr>
              <w:t>Ibbs Curve Calculation Example</w:t>
            </w:r>
          </w:p>
        </w:tc>
      </w:tr>
      <w:tr w:rsidR="00745A04" w:rsidRPr="006D2CC5" w14:paraId="4944F54C" w14:textId="77777777" w:rsidTr="00350AC0">
        <w:trPr>
          <w:trHeight w:val="300"/>
          <w:tblHeader/>
          <w:jc w:val="center"/>
        </w:trPr>
        <w:tc>
          <w:tcPr>
            <w:tcW w:w="400" w:type="pct"/>
            <w:tcBorders>
              <w:top w:val="nil"/>
              <w:left w:val="single" w:sz="4" w:space="0" w:color="auto"/>
              <w:bottom w:val="single" w:sz="4" w:space="0" w:color="auto"/>
              <w:right w:val="single" w:sz="4" w:space="0" w:color="auto"/>
            </w:tcBorders>
            <w:noWrap/>
            <w:vAlign w:val="bottom"/>
            <w:hideMark/>
          </w:tcPr>
          <w:p w14:paraId="3A7B736B" w14:textId="77777777" w:rsidR="0063271F" w:rsidRPr="006D2CC5" w:rsidRDefault="0063271F" w:rsidP="0063271F">
            <w:pPr>
              <w:jc w:val="center"/>
              <w:rPr>
                <w:rFonts w:asciiTheme="minorHAnsi" w:hAnsiTheme="minorHAnsi" w:cstheme="minorHAnsi"/>
                <w:b/>
                <w:bCs/>
                <w:color w:val="000000"/>
                <w:szCs w:val="20"/>
              </w:rPr>
            </w:pPr>
            <w:r w:rsidRPr="006D2CC5">
              <w:rPr>
                <w:rFonts w:asciiTheme="minorHAnsi" w:hAnsiTheme="minorHAnsi" w:cstheme="minorHAnsi"/>
                <w:b/>
                <w:bCs/>
                <w:color w:val="000000"/>
                <w:szCs w:val="20"/>
              </w:rPr>
              <w:t>Row</w:t>
            </w:r>
          </w:p>
        </w:tc>
        <w:tc>
          <w:tcPr>
            <w:tcW w:w="3647" w:type="pct"/>
            <w:tcBorders>
              <w:top w:val="nil"/>
              <w:left w:val="nil"/>
              <w:bottom w:val="single" w:sz="4" w:space="0" w:color="auto"/>
              <w:right w:val="single" w:sz="4" w:space="0" w:color="auto"/>
            </w:tcBorders>
            <w:noWrap/>
            <w:vAlign w:val="bottom"/>
            <w:hideMark/>
          </w:tcPr>
          <w:p w14:paraId="2D079A47" w14:textId="77777777" w:rsidR="0063271F" w:rsidRPr="006D2CC5" w:rsidRDefault="0063271F" w:rsidP="0063271F">
            <w:pPr>
              <w:jc w:val="left"/>
              <w:rPr>
                <w:rFonts w:asciiTheme="minorHAnsi" w:hAnsiTheme="minorHAnsi" w:cstheme="minorHAnsi"/>
                <w:b/>
                <w:bCs/>
                <w:color w:val="000000"/>
                <w:szCs w:val="20"/>
              </w:rPr>
            </w:pPr>
            <w:r w:rsidRPr="006D2CC5">
              <w:rPr>
                <w:rFonts w:asciiTheme="minorHAnsi" w:hAnsiTheme="minorHAnsi" w:cstheme="minorHAnsi"/>
                <w:b/>
                <w:bCs/>
                <w:color w:val="000000"/>
                <w:szCs w:val="20"/>
              </w:rPr>
              <w:t>Item</w:t>
            </w:r>
          </w:p>
        </w:tc>
        <w:tc>
          <w:tcPr>
            <w:tcW w:w="953" w:type="pct"/>
            <w:tcBorders>
              <w:top w:val="nil"/>
              <w:left w:val="nil"/>
              <w:bottom w:val="single" w:sz="4" w:space="0" w:color="auto"/>
              <w:right w:val="single" w:sz="4" w:space="0" w:color="auto"/>
            </w:tcBorders>
            <w:noWrap/>
            <w:vAlign w:val="bottom"/>
            <w:hideMark/>
          </w:tcPr>
          <w:p w14:paraId="17B6576F" w14:textId="77777777" w:rsidR="0063271F" w:rsidRPr="006D2CC5" w:rsidRDefault="0063271F" w:rsidP="0063271F">
            <w:pPr>
              <w:jc w:val="center"/>
              <w:rPr>
                <w:rFonts w:asciiTheme="minorHAnsi" w:hAnsiTheme="minorHAnsi" w:cstheme="minorHAnsi"/>
                <w:b/>
                <w:bCs/>
                <w:color w:val="000000"/>
                <w:szCs w:val="20"/>
              </w:rPr>
            </w:pPr>
            <w:r w:rsidRPr="006D2CC5">
              <w:rPr>
                <w:rFonts w:asciiTheme="minorHAnsi" w:hAnsiTheme="minorHAnsi" w:cstheme="minorHAnsi"/>
                <w:b/>
                <w:bCs/>
                <w:color w:val="000000"/>
                <w:szCs w:val="20"/>
              </w:rPr>
              <w:t>Metric</w:t>
            </w:r>
          </w:p>
        </w:tc>
      </w:tr>
      <w:tr w:rsidR="00745A04" w:rsidRPr="006D2CC5" w14:paraId="7454BB12" w14:textId="77777777" w:rsidTr="00350AC0">
        <w:trPr>
          <w:trHeight w:val="300"/>
          <w:jc w:val="center"/>
        </w:trPr>
        <w:tc>
          <w:tcPr>
            <w:tcW w:w="400" w:type="pct"/>
            <w:tcBorders>
              <w:top w:val="nil"/>
              <w:left w:val="single" w:sz="4" w:space="0" w:color="auto"/>
              <w:bottom w:val="single" w:sz="4" w:space="0" w:color="auto"/>
              <w:right w:val="single" w:sz="4" w:space="0" w:color="auto"/>
            </w:tcBorders>
            <w:noWrap/>
            <w:vAlign w:val="bottom"/>
            <w:hideMark/>
          </w:tcPr>
          <w:p w14:paraId="75833262"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A</w:t>
            </w:r>
          </w:p>
        </w:tc>
        <w:tc>
          <w:tcPr>
            <w:tcW w:w="3647" w:type="pct"/>
            <w:tcBorders>
              <w:top w:val="nil"/>
              <w:left w:val="nil"/>
              <w:bottom w:val="single" w:sz="4" w:space="0" w:color="auto"/>
              <w:right w:val="single" w:sz="4" w:space="0" w:color="auto"/>
            </w:tcBorders>
            <w:noWrap/>
            <w:vAlign w:val="bottom"/>
            <w:hideMark/>
          </w:tcPr>
          <w:p w14:paraId="4530C845" w14:textId="77777777" w:rsidR="0063271F" w:rsidRPr="006D2CC5" w:rsidRDefault="0063271F" w:rsidP="0063271F">
            <w:pPr>
              <w:jc w:val="left"/>
              <w:rPr>
                <w:rFonts w:asciiTheme="minorHAnsi" w:hAnsiTheme="minorHAnsi" w:cstheme="minorHAnsi"/>
                <w:color w:val="000000"/>
                <w:szCs w:val="20"/>
              </w:rPr>
            </w:pPr>
            <w:r w:rsidRPr="006D2CC5">
              <w:rPr>
                <w:rFonts w:asciiTheme="minorHAnsi" w:hAnsiTheme="minorHAnsi" w:cstheme="minorHAnsi"/>
                <w:color w:val="000000"/>
                <w:szCs w:val="20"/>
              </w:rPr>
              <w:t>Change Order Hours</w:t>
            </w:r>
          </w:p>
        </w:tc>
        <w:tc>
          <w:tcPr>
            <w:tcW w:w="953" w:type="pct"/>
            <w:tcBorders>
              <w:top w:val="nil"/>
              <w:left w:val="nil"/>
              <w:bottom w:val="single" w:sz="4" w:space="0" w:color="auto"/>
              <w:right w:val="single" w:sz="4" w:space="0" w:color="auto"/>
            </w:tcBorders>
            <w:noWrap/>
            <w:vAlign w:val="bottom"/>
            <w:hideMark/>
          </w:tcPr>
          <w:p w14:paraId="7B7FE3D7" w14:textId="29148F0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1</w:t>
            </w:r>
            <w:r w:rsidR="00792A65">
              <w:rPr>
                <w:rFonts w:asciiTheme="minorHAnsi" w:hAnsiTheme="minorHAnsi" w:cstheme="minorHAnsi"/>
                <w:color w:val="000000"/>
                <w:szCs w:val="20"/>
              </w:rPr>
              <w:t>,</w:t>
            </w:r>
            <w:r w:rsidRPr="006D2CC5">
              <w:rPr>
                <w:rFonts w:asciiTheme="minorHAnsi" w:hAnsiTheme="minorHAnsi" w:cstheme="minorHAnsi"/>
                <w:color w:val="000000"/>
                <w:szCs w:val="20"/>
              </w:rPr>
              <w:t>500</w:t>
            </w:r>
          </w:p>
        </w:tc>
      </w:tr>
      <w:tr w:rsidR="00745A04" w:rsidRPr="006D2CC5" w14:paraId="244D95E4" w14:textId="77777777" w:rsidTr="00350AC0">
        <w:trPr>
          <w:trHeight w:val="300"/>
          <w:jc w:val="center"/>
        </w:trPr>
        <w:tc>
          <w:tcPr>
            <w:tcW w:w="400" w:type="pct"/>
            <w:tcBorders>
              <w:top w:val="nil"/>
              <w:left w:val="single" w:sz="4" w:space="0" w:color="auto"/>
              <w:bottom w:val="single" w:sz="4" w:space="0" w:color="auto"/>
              <w:right w:val="single" w:sz="4" w:space="0" w:color="auto"/>
            </w:tcBorders>
            <w:noWrap/>
            <w:vAlign w:val="bottom"/>
            <w:hideMark/>
          </w:tcPr>
          <w:p w14:paraId="71998710"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B</w:t>
            </w:r>
          </w:p>
        </w:tc>
        <w:tc>
          <w:tcPr>
            <w:tcW w:w="3647" w:type="pct"/>
            <w:tcBorders>
              <w:top w:val="nil"/>
              <w:left w:val="nil"/>
              <w:bottom w:val="single" w:sz="4" w:space="0" w:color="auto"/>
              <w:right w:val="single" w:sz="4" w:space="0" w:color="auto"/>
            </w:tcBorders>
            <w:noWrap/>
            <w:vAlign w:val="bottom"/>
            <w:hideMark/>
          </w:tcPr>
          <w:p w14:paraId="29DF75D0" w14:textId="77777777" w:rsidR="0063271F" w:rsidRPr="006D2CC5" w:rsidRDefault="0063271F" w:rsidP="0063271F">
            <w:pPr>
              <w:jc w:val="left"/>
              <w:rPr>
                <w:rFonts w:asciiTheme="minorHAnsi" w:hAnsiTheme="minorHAnsi" w:cstheme="minorHAnsi"/>
                <w:color w:val="000000"/>
                <w:szCs w:val="20"/>
              </w:rPr>
            </w:pPr>
            <w:r w:rsidRPr="006D2CC5">
              <w:rPr>
                <w:rFonts w:asciiTheme="minorHAnsi" w:hAnsiTheme="minorHAnsi" w:cstheme="minorHAnsi"/>
                <w:color w:val="000000"/>
                <w:szCs w:val="20"/>
              </w:rPr>
              <w:t>Base Hours</w:t>
            </w:r>
          </w:p>
        </w:tc>
        <w:tc>
          <w:tcPr>
            <w:tcW w:w="953" w:type="pct"/>
            <w:tcBorders>
              <w:top w:val="nil"/>
              <w:left w:val="nil"/>
              <w:bottom w:val="single" w:sz="4" w:space="0" w:color="auto"/>
              <w:right w:val="single" w:sz="4" w:space="0" w:color="auto"/>
            </w:tcBorders>
            <w:noWrap/>
            <w:vAlign w:val="bottom"/>
            <w:hideMark/>
          </w:tcPr>
          <w:p w14:paraId="7CB76FEB" w14:textId="14BFCA8D"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10</w:t>
            </w:r>
            <w:r w:rsidR="00792A65">
              <w:rPr>
                <w:rFonts w:asciiTheme="minorHAnsi" w:hAnsiTheme="minorHAnsi" w:cstheme="minorHAnsi"/>
                <w:color w:val="000000"/>
                <w:szCs w:val="20"/>
              </w:rPr>
              <w:t>,</w:t>
            </w:r>
            <w:r w:rsidRPr="006D2CC5">
              <w:rPr>
                <w:rFonts w:asciiTheme="minorHAnsi" w:hAnsiTheme="minorHAnsi" w:cstheme="minorHAnsi"/>
                <w:color w:val="000000"/>
                <w:szCs w:val="20"/>
              </w:rPr>
              <w:t>000</w:t>
            </w:r>
          </w:p>
        </w:tc>
      </w:tr>
      <w:tr w:rsidR="00745A04" w:rsidRPr="006D2CC5" w14:paraId="49BB3ED5" w14:textId="77777777" w:rsidTr="00350AC0">
        <w:trPr>
          <w:trHeight w:val="300"/>
          <w:jc w:val="center"/>
        </w:trPr>
        <w:tc>
          <w:tcPr>
            <w:tcW w:w="400" w:type="pct"/>
            <w:tcBorders>
              <w:top w:val="nil"/>
              <w:left w:val="single" w:sz="4" w:space="0" w:color="auto"/>
              <w:bottom w:val="single" w:sz="4" w:space="0" w:color="auto"/>
              <w:right w:val="single" w:sz="4" w:space="0" w:color="auto"/>
            </w:tcBorders>
            <w:noWrap/>
            <w:vAlign w:val="bottom"/>
            <w:hideMark/>
          </w:tcPr>
          <w:p w14:paraId="4F7C07B2"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C</w:t>
            </w:r>
          </w:p>
        </w:tc>
        <w:tc>
          <w:tcPr>
            <w:tcW w:w="3647" w:type="pct"/>
            <w:tcBorders>
              <w:top w:val="nil"/>
              <w:left w:val="nil"/>
              <w:bottom w:val="single" w:sz="4" w:space="0" w:color="auto"/>
              <w:right w:val="single" w:sz="4" w:space="0" w:color="auto"/>
            </w:tcBorders>
            <w:noWrap/>
            <w:vAlign w:val="bottom"/>
            <w:hideMark/>
          </w:tcPr>
          <w:p w14:paraId="64401685" w14:textId="77777777" w:rsidR="0063271F" w:rsidRPr="006D2CC5" w:rsidRDefault="0063271F" w:rsidP="0063271F">
            <w:pPr>
              <w:jc w:val="left"/>
              <w:rPr>
                <w:rFonts w:asciiTheme="minorHAnsi" w:hAnsiTheme="minorHAnsi" w:cstheme="minorHAnsi"/>
                <w:color w:val="000000"/>
                <w:szCs w:val="20"/>
              </w:rPr>
            </w:pPr>
            <w:r w:rsidRPr="006D2CC5">
              <w:rPr>
                <w:rFonts w:asciiTheme="minorHAnsi" w:hAnsiTheme="minorHAnsi" w:cstheme="minorHAnsi"/>
                <w:color w:val="000000"/>
                <w:szCs w:val="20"/>
              </w:rPr>
              <w:t>Total Hours (A+B)</w:t>
            </w:r>
          </w:p>
        </w:tc>
        <w:tc>
          <w:tcPr>
            <w:tcW w:w="953" w:type="pct"/>
            <w:tcBorders>
              <w:top w:val="nil"/>
              <w:left w:val="nil"/>
              <w:bottom w:val="single" w:sz="4" w:space="0" w:color="auto"/>
              <w:right w:val="single" w:sz="4" w:space="0" w:color="auto"/>
            </w:tcBorders>
            <w:noWrap/>
            <w:vAlign w:val="bottom"/>
            <w:hideMark/>
          </w:tcPr>
          <w:p w14:paraId="09ACEAE0" w14:textId="1CCA2FE2"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11</w:t>
            </w:r>
            <w:r w:rsidR="00792A65">
              <w:rPr>
                <w:rFonts w:asciiTheme="minorHAnsi" w:hAnsiTheme="minorHAnsi" w:cstheme="minorHAnsi"/>
                <w:color w:val="000000"/>
                <w:szCs w:val="20"/>
              </w:rPr>
              <w:t>,</w:t>
            </w:r>
            <w:r w:rsidRPr="006D2CC5">
              <w:rPr>
                <w:rFonts w:asciiTheme="minorHAnsi" w:hAnsiTheme="minorHAnsi" w:cstheme="minorHAnsi"/>
                <w:color w:val="000000"/>
                <w:szCs w:val="20"/>
              </w:rPr>
              <w:t>500</w:t>
            </w:r>
          </w:p>
        </w:tc>
      </w:tr>
      <w:tr w:rsidR="00745A04" w:rsidRPr="006D2CC5" w14:paraId="1EC0D832" w14:textId="77777777" w:rsidTr="00350AC0">
        <w:trPr>
          <w:trHeight w:val="300"/>
          <w:jc w:val="center"/>
        </w:trPr>
        <w:tc>
          <w:tcPr>
            <w:tcW w:w="400" w:type="pct"/>
            <w:tcBorders>
              <w:top w:val="nil"/>
              <w:left w:val="single" w:sz="4" w:space="0" w:color="auto"/>
              <w:bottom w:val="single" w:sz="4" w:space="0" w:color="auto"/>
              <w:right w:val="single" w:sz="4" w:space="0" w:color="auto"/>
            </w:tcBorders>
            <w:noWrap/>
            <w:vAlign w:val="bottom"/>
            <w:hideMark/>
          </w:tcPr>
          <w:p w14:paraId="2F6658B5"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D</w:t>
            </w:r>
          </w:p>
        </w:tc>
        <w:tc>
          <w:tcPr>
            <w:tcW w:w="3647" w:type="pct"/>
            <w:tcBorders>
              <w:top w:val="nil"/>
              <w:left w:val="nil"/>
              <w:bottom w:val="single" w:sz="4" w:space="0" w:color="auto"/>
              <w:right w:val="single" w:sz="4" w:space="0" w:color="auto"/>
            </w:tcBorders>
            <w:noWrap/>
            <w:vAlign w:val="bottom"/>
            <w:hideMark/>
          </w:tcPr>
          <w:p w14:paraId="0465DDBE" w14:textId="77777777" w:rsidR="0063271F" w:rsidRPr="006D2CC5" w:rsidRDefault="0063271F" w:rsidP="0063271F">
            <w:pPr>
              <w:jc w:val="left"/>
              <w:rPr>
                <w:rFonts w:asciiTheme="minorHAnsi" w:hAnsiTheme="minorHAnsi" w:cstheme="minorHAnsi"/>
                <w:color w:val="000000"/>
                <w:szCs w:val="20"/>
              </w:rPr>
            </w:pPr>
            <w:r w:rsidRPr="006D2CC5">
              <w:rPr>
                <w:rFonts w:asciiTheme="minorHAnsi" w:hAnsiTheme="minorHAnsi" w:cstheme="minorHAnsi"/>
                <w:color w:val="000000"/>
                <w:szCs w:val="20"/>
              </w:rPr>
              <w:t>% Change (B/A)</w:t>
            </w:r>
          </w:p>
        </w:tc>
        <w:tc>
          <w:tcPr>
            <w:tcW w:w="953" w:type="pct"/>
            <w:tcBorders>
              <w:top w:val="nil"/>
              <w:left w:val="nil"/>
              <w:bottom w:val="single" w:sz="4" w:space="0" w:color="auto"/>
              <w:right w:val="single" w:sz="4" w:space="0" w:color="auto"/>
            </w:tcBorders>
            <w:noWrap/>
            <w:vAlign w:val="bottom"/>
            <w:hideMark/>
          </w:tcPr>
          <w:p w14:paraId="52F86829"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15%</w:t>
            </w:r>
          </w:p>
        </w:tc>
      </w:tr>
      <w:tr w:rsidR="00745A04" w:rsidRPr="006D2CC5" w14:paraId="29903729" w14:textId="77777777" w:rsidTr="00350AC0">
        <w:trPr>
          <w:trHeight w:val="300"/>
          <w:jc w:val="center"/>
        </w:trPr>
        <w:tc>
          <w:tcPr>
            <w:tcW w:w="400" w:type="pct"/>
            <w:tcBorders>
              <w:top w:val="nil"/>
              <w:left w:val="single" w:sz="4" w:space="0" w:color="auto"/>
              <w:bottom w:val="single" w:sz="4" w:space="0" w:color="auto"/>
              <w:right w:val="single" w:sz="4" w:space="0" w:color="auto"/>
            </w:tcBorders>
            <w:noWrap/>
            <w:vAlign w:val="bottom"/>
            <w:hideMark/>
          </w:tcPr>
          <w:p w14:paraId="6732ADD5"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E</w:t>
            </w:r>
          </w:p>
        </w:tc>
        <w:tc>
          <w:tcPr>
            <w:tcW w:w="3647" w:type="pct"/>
            <w:tcBorders>
              <w:top w:val="nil"/>
              <w:left w:val="nil"/>
              <w:bottom w:val="single" w:sz="4" w:space="0" w:color="auto"/>
              <w:right w:val="single" w:sz="4" w:space="0" w:color="auto"/>
            </w:tcBorders>
            <w:noWrap/>
            <w:vAlign w:val="bottom"/>
            <w:hideMark/>
          </w:tcPr>
          <w:p w14:paraId="1E43C303" w14:textId="77777777" w:rsidR="0063271F" w:rsidRPr="006D2CC5" w:rsidRDefault="0063271F" w:rsidP="0063271F">
            <w:pPr>
              <w:jc w:val="left"/>
              <w:rPr>
                <w:rFonts w:asciiTheme="minorHAnsi" w:hAnsiTheme="minorHAnsi" w:cstheme="minorHAnsi"/>
                <w:color w:val="000000"/>
                <w:szCs w:val="20"/>
              </w:rPr>
            </w:pPr>
            <w:r w:rsidRPr="006D2CC5">
              <w:rPr>
                <w:rFonts w:asciiTheme="minorHAnsi" w:hAnsiTheme="minorHAnsi" w:cstheme="minorHAnsi"/>
                <w:color w:val="000000"/>
                <w:szCs w:val="20"/>
              </w:rPr>
              <w:t>Ibbs Curve (Efficiency) (1-D)</w:t>
            </w:r>
          </w:p>
        </w:tc>
        <w:tc>
          <w:tcPr>
            <w:tcW w:w="953" w:type="pct"/>
            <w:tcBorders>
              <w:top w:val="nil"/>
              <w:left w:val="nil"/>
              <w:bottom w:val="single" w:sz="4" w:space="0" w:color="auto"/>
              <w:right w:val="single" w:sz="4" w:space="0" w:color="auto"/>
            </w:tcBorders>
            <w:noWrap/>
            <w:vAlign w:val="bottom"/>
            <w:hideMark/>
          </w:tcPr>
          <w:p w14:paraId="289CFC85"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85%</w:t>
            </w:r>
          </w:p>
        </w:tc>
      </w:tr>
      <w:tr w:rsidR="00745A04" w:rsidRPr="006D2CC5" w14:paraId="74DF878D" w14:textId="77777777" w:rsidTr="00350AC0">
        <w:trPr>
          <w:trHeight w:val="300"/>
          <w:jc w:val="center"/>
        </w:trPr>
        <w:tc>
          <w:tcPr>
            <w:tcW w:w="400" w:type="pct"/>
            <w:tcBorders>
              <w:top w:val="nil"/>
              <w:left w:val="single" w:sz="4" w:space="0" w:color="auto"/>
              <w:bottom w:val="single" w:sz="4" w:space="0" w:color="auto"/>
              <w:right w:val="single" w:sz="4" w:space="0" w:color="auto"/>
            </w:tcBorders>
            <w:noWrap/>
            <w:vAlign w:val="bottom"/>
            <w:hideMark/>
          </w:tcPr>
          <w:p w14:paraId="1CA0E641"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F</w:t>
            </w:r>
          </w:p>
        </w:tc>
        <w:tc>
          <w:tcPr>
            <w:tcW w:w="3647" w:type="pct"/>
            <w:tcBorders>
              <w:top w:val="nil"/>
              <w:left w:val="nil"/>
              <w:bottom w:val="single" w:sz="4" w:space="0" w:color="auto"/>
              <w:right w:val="single" w:sz="4" w:space="0" w:color="auto"/>
            </w:tcBorders>
            <w:noWrap/>
            <w:vAlign w:val="bottom"/>
            <w:hideMark/>
          </w:tcPr>
          <w:p w14:paraId="63AE1497" w14:textId="77777777" w:rsidR="0063271F" w:rsidRPr="006D2CC5" w:rsidRDefault="0063271F" w:rsidP="0063271F">
            <w:pPr>
              <w:jc w:val="left"/>
              <w:rPr>
                <w:rFonts w:asciiTheme="minorHAnsi" w:hAnsiTheme="minorHAnsi" w:cstheme="minorHAnsi"/>
                <w:color w:val="000000"/>
                <w:szCs w:val="20"/>
              </w:rPr>
            </w:pPr>
            <w:r w:rsidRPr="006D2CC5">
              <w:rPr>
                <w:rFonts w:asciiTheme="minorHAnsi" w:hAnsiTheme="minorHAnsi" w:cstheme="minorHAnsi"/>
                <w:color w:val="000000"/>
                <w:szCs w:val="20"/>
              </w:rPr>
              <w:t>Ibbs Curve (Inefficiency) (1-E)</w:t>
            </w:r>
          </w:p>
        </w:tc>
        <w:tc>
          <w:tcPr>
            <w:tcW w:w="953" w:type="pct"/>
            <w:tcBorders>
              <w:top w:val="nil"/>
              <w:left w:val="nil"/>
              <w:bottom w:val="single" w:sz="4" w:space="0" w:color="auto"/>
              <w:right w:val="single" w:sz="4" w:space="0" w:color="auto"/>
            </w:tcBorders>
            <w:noWrap/>
            <w:vAlign w:val="bottom"/>
            <w:hideMark/>
          </w:tcPr>
          <w:p w14:paraId="2858E1EA"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15%</w:t>
            </w:r>
          </w:p>
        </w:tc>
      </w:tr>
      <w:tr w:rsidR="00745A04" w:rsidRPr="006D2CC5" w14:paraId="0C9077B7" w14:textId="77777777" w:rsidTr="00350AC0">
        <w:trPr>
          <w:trHeight w:val="330"/>
          <w:jc w:val="center"/>
        </w:trPr>
        <w:tc>
          <w:tcPr>
            <w:tcW w:w="400" w:type="pct"/>
            <w:tcBorders>
              <w:top w:val="nil"/>
              <w:left w:val="single" w:sz="4" w:space="0" w:color="auto"/>
              <w:bottom w:val="single" w:sz="4" w:space="0" w:color="auto"/>
              <w:right w:val="single" w:sz="4" w:space="0" w:color="auto"/>
            </w:tcBorders>
            <w:noWrap/>
            <w:vAlign w:val="bottom"/>
            <w:hideMark/>
          </w:tcPr>
          <w:p w14:paraId="3E60193E"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G</w:t>
            </w:r>
          </w:p>
        </w:tc>
        <w:tc>
          <w:tcPr>
            <w:tcW w:w="3647" w:type="pct"/>
            <w:tcBorders>
              <w:top w:val="nil"/>
              <w:left w:val="nil"/>
              <w:bottom w:val="single" w:sz="4" w:space="0" w:color="auto"/>
              <w:right w:val="single" w:sz="4" w:space="0" w:color="auto"/>
            </w:tcBorders>
            <w:noWrap/>
            <w:vAlign w:val="bottom"/>
            <w:hideMark/>
          </w:tcPr>
          <w:p w14:paraId="07B54475" w14:textId="77777777" w:rsidR="0063271F" w:rsidRPr="006D2CC5" w:rsidRDefault="0063271F" w:rsidP="0063271F">
            <w:pPr>
              <w:jc w:val="left"/>
              <w:rPr>
                <w:rFonts w:asciiTheme="minorHAnsi" w:hAnsiTheme="minorHAnsi" w:cstheme="minorHAnsi"/>
                <w:color w:val="000000"/>
                <w:szCs w:val="20"/>
              </w:rPr>
            </w:pPr>
            <w:r w:rsidRPr="006D2CC5">
              <w:rPr>
                <w:rFonts w:asciiTheme="minorHAnsi" w:hAnsiTheme="minorHAnsi" w:cstheme="minorHAnsi"/>
                <w:color w:val="000000"/>
                <w:szCs w:val="20"/>
              </w:rPr>
              <w:t>Ibbs Calculation: Y=2.4621D</w:t>
            </w:r>
            <w:r w:rsidRPr="006D2CC5">
              <w:rPr>
                <w:rFonts w:asciiTheme="minorHAnsi" w:hAnsiTheme="minorHAnsi" w:cstheme="minorHAnsi"/>
                <w:color w:val="000000"/>
                <w:szCs w:val="20"/>
                <w:vertAlign w:val="superscript"/>
              </w:rPr>
              <w:t>2</w:t>
            </w:r>
            <w:r w:rsidRPr="006D2CC5">
              <w:rPr>
                <w:rFonts w:asciiTheme="minorHAnsi" w:hAnsiTheme="minorHAnsi" w:cstheme="minorHAnsi"/>
                <w:color w:val="000000"/>
                <w:szCs w:val="20"/>
              </w:rPr>
              <w:t xml:space="preserve"> - 2.169D + 1.0589 (Efficiency)</w:t>
            </w:r>
          </w:p>
        </w:tc>
        <w:tc>
          <w:tcPr>
            <w:tcW w:w="953" w:type="pct"/>
            <w:tcBorders>
              <w:top w:val="nil"/>
              <w:left w:val="nil"/>
              <w:bottom w:val="single" w:sz="4" w:space="0" w:color="auto"/>
              <w:right w:val="single" w:sz="4" w:space="0" w:color="auto"/>
            </w:tcBorders>
            <w:noWrap/>
            <w:vAlign w:val="bottom"/>
            <w:hideMark/>
          </w:tcPr>
          <w:p w14:paraId="500FE351"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79%</w:t>
            </w:r>
          </w:p>
        </w:tc>
      </w:tr>
      <w:tr w:rsidR="00745A04" w:rsidRPr="006D2CC5" w14:paraId="3C714930" w14:textId="77777777" w:rsidTr="00350AC0">
        <w:trPr>
          <w:trHeight w:val="300"/>
          <w:jc w:val="center"/>
        </w:trPr>
        <w:tc>
          <w:tcPr>
            <w:tcW w:w="400" w:type="pct"/>
            <w:tcBorders>
              <w:top w:val="nil"/>
              <w:left w:val="single" w:sz="4" w:space="0" w:color="auto"/>
              <w:bottom w:val="single" w:sz="4" w:space="0" w:color="auto"/>
              <w:right w:val="single" w:sz="4" w:space="0" w:color="auto"/>
            </w:tcBorders>
            <w:noWrap/>
            <w:vAlign w:val="bottom"/>
            <w:hideMark/>
          </w:tcPr>
          <w:p w14:paraId="1D4D606E"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H</w:t>
            </w:r>
          </w:p>
        </w:tc>
        <w:tc>
          <w:tcPr>
            <w:tcW w:w="3647" w:type="pct"/>
            <w:tcBorders>
              <w:top w:val="nil"/>
              <w:left w:val="nil"/>
              <w:bottom w:val="single" w:sz="4" w:space="0" w:color="auto"/>
              <w:right w:val="single" w:sz="4" w:space="0" w:color="auto"/>
            </w:tcBorders>
            <w:noWrap/>
            <w:vAlign w:val="bottom"/>
            <w:hideMark/>
          </w:tcPr>
          <w:p w14:paraId="3C79113C" w14:textId="77777777" w:rsidR="0063271F" w:rsidRPr="006D2CC5" w:rsidRDefault="0063271F" w:rsidP="0063271F">
            <w:pPr>
              <w:jc w:val="left"/>
              <w:rPr>
                <w:rFonts w:asciiTheme="minorHAnsi" w:hAnsiTheme="minorHAnsi" w:cstheme="minorHAnsi"/>
                <w:color w:val="000000"/>
                <w:szCs w:val="20"/>
              </w:rPr>
            </w:pPr>
            <w:r w:rsidRPr="006D2CC5">
              <w:rPr>
                <w:rFonts w:asciiTheme="minorHAnsi" w:hAnsiTheme="minorHAnsi" w:cstheme="minorHAnsi"/>
                <w:color w:val="000000"/>
                <w:szCs w:val="20"/>
              </w:rPr>
              <w:t>Inefficiency (1-G)</w:t>
            </w:r>
          </w:p>
        </w:tc>
        <w:tc>
          <w:tcPr>
            <w:tcW w:w="953" w:type="pct"/>
            <w:tcBorders>
              <w:top w:val="nil"/>
              <w:left w:val="nil"/>
              <w:bottom w:val="single" w:sz="4" w:space="0" w:color="auto"/>
              <w:right w:val="single" w:sz="4" w:space="0" w:color="auto"/>
            </w:tcBorders>
            <w:noWrap/>
            <w:vAlign w:val="bottom"/>
            <w:hideMark/>
          </w:tcPr>
          <w:p w14:paraId="0B970A42"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21%</w:t>
            </w:r>
          </w:p>
        </w:tc>
      </w:tr>
      <w:tr w:rsidR="00745A04" w:rsidRPr="006D2CC5" w14:paraId="3F528E0A" w14:textId="77777777" w:rsidTr="00350AC0">
        <w:trPr>
          <w:trHeight w:val="300"/>
          <w:jc w:val="center"/>
        </w:trPr>
        <w:tc>
          <w:tcPr>
            <w:tcW w:w="400" w:type="pct"/>
            <w:tcBorders>
              <w:top w:val="nil"/>
              <w:left w:val="single" w:sz="4" w:space="0" w:color="auto"/>
              <w:bottom w:val="single" w:sz="4" w:space="0" w:color="auto"/>
              <w:right w:val="single" w:sz="4" w:space="0" w:color="auto"/>
            </w:tcBorders>
            <w:noWrap/>
            <w:vAlign w:val="bottom"/>
            <w:hideMark/>
          </w:tcPr>
          <w:p w14:paraId="61118DA7"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I</w:t>
            </w:r>
          </w:p>
        </w:tc>
        <w:tc>
          <w:tcPr>
            <w:tcW w:w="3647" w:type="pct"/>
            <w:tcBorders>
              <w:top w:val="nil"/>
              <w:left w:val="nil"/>
              <w:bottom w:val="single" w:sz="4" w:space="0" w:color="auto"/>
              <w:right w:val="single" w:sz="4" w:space="0" w:color="auto"/>
            </w:tcBorders>
            <w:noWrap/>
            <w:vAlign w:val="bottom"/>
            <w:hideMark/>
          </w:tcPr>
          <w:p w14:paraId="797429FD" w14:textId="77777777" w:rsidR="0063271F" w:rsidRPr="006D2CC5" w:rsidRDefault="0063271F" w:rsidP="0063271F">
            <w:pPr>
              <w:jc w:val="left"/>
              <w:rPr>
                <w:rFonts w:asciiTheme="minorHAnsi" w:hAnsiTheme="minorHAnsi" w:cstheme="minorHAnsi"/>
                <w:color w:val="000000"/>
                <w:szCs w:val="20"/>
              </w:rPr>
            </w:pPr>
            <w:r w:rsidRPr="006D2CC5">
              <w:rPr>
                <w:rFonts w:asciiTheme="minorHAnsi" w:hAnsiTheme="minorHAnsi" w:cstheme="minorHAnsi"/>
                <w:color w:val="000000"/>
                <w:szCs w:val="20"/>
              </w:rPr>
              <w:t>Total Labor Hours Lost (BxH)</w:t>
            </w:r>
          </w:p>
        </w:tc>
        <w:tc>
          <w:tcPr>
            <w:tcW w:w="953" w:type="pct"/>
            <w:tcBorders>
              <w:top w:val="nil"/>
              <w:left w:val="nil"/>
              <w:bottom w:val="single" w:sz="4" w:space="0" w:color="auto"/>
              <w:right w:val="single" w:sz="4" w:space="0" w:color="auto"/>
            </w:tcBorders>
            <w:noWrap/>
            <w:vAlign w:val="bottom"/>
            <w:hideMark/>
          </w:tcPr>
          <w:p w14:paraId="787BC572" w14:textId="20B28C41" w:rsidR="0063271F" w:rsidRPr="006D2CC5" w:rsidRDefault="0063271F" w:rsidP="00212921">
            <w:pPr>
              <w:jc w:val="center"/>
              <w:rPr>
                <w:rFonts w:asciiTheme="minorHAnsi" w:hAnsiTheme="minorHAnsi" w:cstheme="minorHAnsi"/>
                <w:color w:val="000000"/>
                <w:szCs w:val="20"/>
              </w:rPr>
            </w:pPr>
            <w:r w:rsidRPr="006D2CC5">
              <w:rPr>
                <w:rFonts w:asciiTheme="minorHAnsi" w:hAnsiTheme="minorHAnsi" w:cstheme="minorHAnsi"/>
                <w:color w:val="000000"/>
                <w:szCs w:val="20"/>
              </w:rPr>
              <w:t>2,110.53</w:t>
            </w:r>
          </w:p>
        </w:tc>
      </w:tr>
      <w:tr w:rsidR="00745A04" w:rsidRPr="006D2CC5" w14:paraId="0BD046DE" w14:textId="77777777" w:rsidTr="00350AC0">
        <w:trPr>
          <w:trHeight w:val="300"/>
          <w:jc w:val="center"/>
        </w:trPr>
        <w:tc>
          <w:tcPr>
            <w:tcW w:w="400" w:type="pct"/>
            <w:tcBorders>
              <w:top w:val="nil"/>
              <w:left w:val="single" w:sz="4" w:space="0" w:color="auto"/>
              <w:bottom w:val="single" w:sz="4" w:space="0" w:color="auto"/>
              <w:right w:val="single" w:sz="4" w:space="0" w:color="auto"/>
            </w:tcBorders>
            <w:noWrap/>
            <w:vAlign w:val="bottom"/>
            <w:hideMark/>
          </w:tcPr>
          <w:p w14:paraId="5D1FF790"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J</w:t>
            </w:r>
          </w:p>
        </w:tc>
        <w:tc>
          <w:tcPr>
            <w:tcW w:w="3647" w:type="pct"/>
            <w:tcBorders>
              <w:top w:val="nil"/>
              <w:left w:val="nil"/>
              <w:bottom w:val="single" w:sz="4" w:space="0" w:color="auto"/>
              <w:right w:val="single" w:sz="4" w:space="0" w:color="auto"/>
            </w:tcBorders>
            <w:noWrap/>
            <w:vAlign w:val="bottom"/>
            <w:hideMark/>
          </w:tcPr>
          <w:p w14:paraId="2E6938AA" w14:textId="77777777" w:rsidR="0063271F" w:rsidRPr="006D2CC5" w:rsidRDefault="0063271F" w:rsidP="0063271F">
            <w:pPr>
              <w:jc w:val="left"/>
              <w:rPr>
                <w:rFonts w:asciiTheme="minorHAnsi" w:hAnsiTheme="minorHAnsi" w:cstheme="minorHAnsi"/>
                <w:color w:val="000000"/>
                <w:szCs w:val="20"/>
              </w:rPr>
            </w:pPr>
            <w:r w:rsidRPr="006D2CC5">
              <w:rPr>
                <w:rFonts w:asciiTheme="minorHAnsi" w:hAnsiTheme="minorHAnsi" w:cstheme="minorHAnsi"/>
                <w:color w:val="000000"/>
                <w:szCs w:val="20"/>
              </w:rPr>
              <w:t>Hourly Rate</w:t>
            </w:r>
          </w:p>
        </w:tc>
        <w:tc>
          <w:tcPr>
            <w:tcW w:w="953" w:type="pct"/>
            <w:tcBorders>
              <w:top w:val="nil"/>
              <w:left w:val="nil"/>
              <w:bottom w:val="single" w:sz="4" w:space="0" w:color="auto"/>
              <w:right w:val="single" w:sz="4" w:space="0" w:color="auto"/>
            </w:tcBorders>
            <w:noWrap/>
            <w:vAlign w:val="bottom"/>
            <w:hideMark/>
          </w:tcPr>
          <w:p w14:paraId="15AF9412" w14:textId="13205D62" w:rsidR="0063271F" w:rsidRPr="006D2CC5" w:rsidRDefault="0063271F" w:rsidP="00212921">
            <w:pPr>
              <w:jc w:val="center"/>
              <w:rPr>
                <w:rFonts w:asciiTheme="minorHAnsi" w:hAnsiTheme="minorHAnsi" w:cstheme="minorHAnsi"/>
                <w:color w:val="000000"/>
                <w:szCs w:val="20"/>
              </w:rPr>
            </w:pPr>
            <w:r w:rsidRPr="006D2CC5">
              <w:rPr>
                <w:rFonts w:asciiTheme="minorHAnsi" w:hAnsiTheme="minorHAnsi" w:cstheme="minorHAnsi"/>
                <w:color w:val="000000"/>
                <w:szCs w:val="20"/>
              </w:rPr>
              <w:t>$85.20</w:t>
            </w:r>
          </w:p>
        </w:tc>
      </w:tr>
      <w:tr w:rsidR="00745A04" w:rsidRPr="006D2CC5" w14:paraId="20921D07" w14:textId="77777777" w:rsidTr="00350AC0">
        <w:trPr>
          <w:trHeight w:val="300"/>
          <w:jc w:val="center"/>
        </w:trPr>
        <w:tc>
          <w:tcPr>
            <w:tcW w:w="400" w:type="pct"/>
            <w:tcBorders>
              <w:top w:val="nil"/>
              <w:left w:val="single" w:sz="4" w:space="0" w:color="auto"/>
              <w:bottom w:val="single" w:sz="4" w:space="0" w:color="auto"/>
              <w:right w:val="single" w:sz="4" w:space="0" w:color="auto"/>
            </w:tcBorders>
            <w:noWrap/>
            <w:vAlign w:val="bottom"/>
            <w:hideMark/>
          </w:tcPr>
          <w:p w14:paraId="503B5B55" w14:textId="77777777" w:rsidR="0063271F" w:rsidRPr="006D2CC5" w:rsidRDefault="0063271F" w:rsidP="0063271F">
            <w:pPr>
              <w:jc w:val="center"/>
              <w:rPr>
                <w:rFonts w:asciiTheme="minorHAnsi" w:hAnsiTheme="minorHAnsi" w:cstheme="minorHAnsi"/>
                <w:color w:val="000000"/>
                <w:szCs w:val="20"/>
              </w:rPr>
            </w:pPr>
            <w:r w:rsidRPr="006D2CC5">
              <w:rPr>
                <w:rFonts w:asciiTheme="minorHAnsi" w:hAnsiTheme="minorHAnsi" w:cstheme="minorHAnsi"/>
                <w:color w:val="000000"/>
                <w:szCs w:val="20"/>
              </w:rPr>
              <w:t>K</w:t>
            </w:r>
          </w:p>
        </w:tc>
        <w:tc>
          <w:tcPr>
            <w:tcW w:w="3647" w:type="pct"/>
            <w:tcBorders>
              <w:top w:val="nil"/>
              <w:left w:val="nil"/>
              <w:bottom w:val="single" w:sz="4" w:space="0" w:color="auto"/>
              <w:right w:val="single" w:sz="4" w:space="0" w:color="auto"/>
            </w:tcBorders>
            <w:noWrap/>
            <w:vAlign w:val="bottom"/>
            <w:hideMark/>
          </w:tcPr>
          <w:p w14:paraId="102BBDEC" w14:textId="77777777" w:rsidR="0063271F" w:rsidRPr="006D2CC5" w:rsidRDefault="0063271F" w:rsidP="0063271F">
            <w:pPr>
              <w:jc w:val="left"/>
              <w:rPr>
                <w:rFonts w:asciiTheme="minorHAnsi" w:hAnsiTheme="minorHAnsi" w:cstheme="minorHAnsi"/>
                <w:color w:val="000000"/>
                <w:szCs w:val="20"/>
              </w:rPr>
            </w:pPr>
            <w:r w:rsidRPr="006D2CC5">
              <w:rPr>
                <w:rFonts w:asciiTheme="minorHAnsi" w:hAnsiTheme="minorHAnsi" w:cstheme="minorHAnsi"/>
                <w:color w:val="000000"/>
                <w:szCs w:val="20"/>
              </w:rPr>
              <w:t>Total Labor Cost Lost (IxJ)</w:t>
            </w:r>
          </w:p>
        </w:tc>
        <w:tc>
          <w:tcPr>
            <w:tcW w:w="953" w:type="pct"/>
            <w:tcBorders>
              <w:top w:val="nil"/>
              <w:left w:val="nil"/>
              <w:bottom w:val="single" w:sz="4" w:space="0" w:color="auto"/>
              <w:right w:val="single" w:sz="4" w:space="0" w:color="auto"/>
            </w:tcBorders>
            <w:noWrap/>
            <w:vAlign w:val="bottom"/>
            <w:hideMark/>
          </w:tcPr>
          <w:p w14:paraId="7921CBBD" w14:textId="1951DC05" w:rsidR="0063271F" w:rsidRPr="006D2CC5" w:rsidRDefault="0063271F" w:rsidP="0063271F">
            <w:pPr>
              <w:jc w:val="left"/>
              <w:rPr>
                <w:rFonts w:asciiTheme="minorHAnsi" w:hAnsiTheme="minorHAnsi" w:cstheme="minorHAnsi"/>
                <w:color w:val="000000"/>
                <w:szCs w:val="20"/>
              </w:rPr>
            </w:pPr>
            <w:r w:rsidRPr="006D2CC5">
              <w:rPr>
                <w:rFonts w:asciiTheme="minorHAnsi" w:hAnsiTheme="minorHAnsi" w:cstheme="minorHAnsi"/>
                <w:color w:val="000000"/>
                <w:szCs w:val="20"/>
              </w:rPr>
              <w:t xml:space="preserve"> $179,816.94 </w:t>
            </w:r>
          </w:p>
        </w:tc>
      </w:tr>
    </w:tbl>
    <w:p w14:paraId="7BB7D04A" w14:textId="77777777" w:rsidR="00D56608" w:rsidRDefault="00D56608" w:rsidP="00EC4432"/>
    <w:p w14:paraId="6626C3DE" w14:textId="312416EE" w:rsidR="00095149" w:rsidRDefault="00095149" w:rsidP="00962AE6">
      <w:pPr>
        <w:keepNext/>
      </w:pPr>
      <w:r>
        <w:lastRenderedPageBreak/>
        <w:t>Figure 1</w:t>
      </w:r>
    </w:p>
    <w:p w14:paraId="0ADB598A" w14:textId="659EC6DF" w:rsidR="0020498A" w:rsidRPr="00A80A97" w:rsidRDefault="0020498A" w:rsidP="00331ADE">
      <w:pPr>
        <w:jc w:val="center"/>
      </w:pPr>
      <w:r w:rsidRPr="0020498A">
        <w:rPr>
          <w:noProof/>
        </w:rPr>
        <w:drawing>
          <wp:inline distT="0" distB="0" distL="0" distR="0" wp14:anchorId="17405399" wp14:editId="6951CC8B">
            <wp:extent cx="5943600" cy="3206750"/>
            <wp:effectExtent l="19050" t="19050" r="19050" b="12700"/>
            <wp:docPr id="1873784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784427" name=""/>
                    <pic:cNvPicPr/>
                  </pic:nvPicPr>
                  <pic:blipFill>
                    <a:blip r:embed="rId11"/>
                    <a:stretch>
                      <a:fillRect/>
                    </a:stretch>
                  </pic:blipFill>
                  <pic:spPr>
                    <a:xfrm>
                      <a:off x="0" y="0"/>
                      <a:ext cx="5943600" cy="3206750"/>
                    </a:xfrm>
                    <a:prstGeom prst="rect">
                      <a:avLst/>
                    </a:prstGeom>
                    <a:ln>
                      <a:solidFill>
                        <a:schemeClr val="tx1"/>
                      </a:solidFill>
                    </a:ln>
                  </pic:spPr>
                </pic:pic>
              </a:graphicData>
            </a:graphic>
          </wp:inline>
        </w:drawing>
      </w:r>
    </w:p>
    <w:p w14:paraId="17FEE40A" w14:textId="77777777" w:rsidR="003517F0" w:rsidRDefault="003517F0" w:rsidP="003517F0"/>
    <w:p w14:paraId="10D8E542" w14:textId="39C0904E" w:rsidR="003517F0" w:rsidRDefault="003517F0" w:rsidP="003517F0">
      <w:r>
        <w:t>Ibbs</w:t>
      </w:r>
      <w:r w:rsidR="005E0B52">
        <w:t xml:space="preserve"> also </w:t>
      </w:r>
      <w:r w:rsidR="00762E79">
        <w:t xml:space="preserve">evaluated the effects of when changes occurred during a project’s duration. His </w:t>
      </w:r>
      <w:r w:rsidR="00C4678E">
        <w:t xml:space="preserve">later </w:t>
      </w:r>
      <w:r w:rsidR="00762E79">
        <w:t>stud</w:t>
      </w:r>
      <w:r w:rsidR="00C4678E">
        <w:t>ies</w:t>
      </w:r>
      <w:r w:rsidR="00762E79">
        <w:t xml:space="preserve"> produced</w:t>
      </w:r>
      <w:r w:rsidR="00C4678E">
        <w:t xml:space="preserve"> three separate equations to estimate the loss of productivity.</w:t>
      </w:r>
      <w:r w:rsidR="00FD1004">
        <w:t xml:space="preserve"> Shown below is a graph taken from Ibbs’s 2008 article</w:t>
      </w:r>
      <w:r w:rsidR="00381ECC">
        <w:t>,</w:t>
      </w:r>
      <w:r w:rsidR="00FD1004">
        <w:t xml:space="preserve"> </w:t>
      </w:r>
    </w:p>
    <w:p w14:paraId="06F8F432" w14:textId="0AA0F9E5" w:rsidR="00FD1004" w:rsidRDefault="00713FAF" w:rsidP="003517F0">
      <w:r w:rsidRPr="00713FAF">
        <w:rPr>
          <w:i/>
          <w:iCs/>
        </w:rPr>
        <w:t>Evaluating the Cumulative Impact of Changes on Labor Productivity – an Evolving Discussion.</w:t>
      </w:r>
      <w:r>
        <w:t xml:space="preserve"> Ibbs co-authored this </w:t>
      </w:r>
      <w:r w:rsidR="006903CD">
        <w:t>article</w:t>
      </w:r>
      <w:r>
        <w:t xml:space="preserve"> with Mr. Gerald McEnir</w:t>
      </w:r>
      <w:r w:rsidR="007015A0">
        <w:t xml:space="preserve">y and published in AACE’s </w:t>
      </w:r>
      <w:r w:rsidR="007015A0">
        <w:rPr>
          <w:i/>
          <w:iCs/>
        </w:rPr>
        <w:t>Cost Engineering</w:t>
      </w:r>
      <w:r w:rsidR="007015A0">
        <w:t xml:space="preserve"> publication</w:t>
      </w:r>
      <w:r w:rsidR="0091601D">
        <w:t xml:space="preserve"> Volume 50, Number 12.</w:t>
      </w:r>
    </w:p>
    <w:p w14:paraId="1E448836" w14:textId="77777777" w:rsidR="00660EF7" w:rsidRDefault="00660EF7" w:rsidP="003517F0"/>
    <w:p w14:paraId="5D58817B" w14:textId="7F814889" w:rsidR="00660EF7" w:rsidRPr="007015A0" w:rsidRDefault="00660EF7" w:rsidP="003517F0">
      <w:r>
        <w:t>Figure 2</w:t>
      </w:r>
    </w:p>
    <w:p w14:paraId="4117F4DD" w14:textId="7F587B4C" w:rsidR="00FD1004" w:rsidRDefault="00FD1004" w:rsidP="003517F0">
      <w:r w:rsidRPr="00FD1004">
        <w:rPr>
          <w:noProof/>
        </w:rPr>
        <w:drawing>
          <wp:inline distT="0" distB="0" distL="0" distR="0" wp14:anchorId="007F143D" wp14:editId="4A43B3AE">
            <wp:extent cx="5943600" cy="3566160"/>
            <wp:effectExtent l="0" t="0" r="0" b="0"/>
            <wp:docPr id="1171246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246486" name=""/>
                    <pic:cNvPicPr/>
                  </pic:nvPicPr>
                  <pic:blipFill>
                    <a:blip r:embed="rId12"/>
                    <a:stretch>
                      <a:fillRect/>
                    </a:stretch>
                  </pic:blipFill>
                  <pic:spPr>
                    <a:xfrm>
                      <a:off x="0" y="0"/>
                      <a:ext cx="5943600" cy="3566160"/>
                    </a:xfrm>
                    <a:prstGeom prst="rect">
                      <a:avLst/>
                    </a:prstGeom>
                  </pic:spPr>
                </pic:pic>
              </a:graphicData>
            </a:graphic>
          </wp:inline>
        </w:drawing>
      </w:r>
    </w:p>
    <w:p w14:paraId="397169C6" w14:textId="77777777" w:rsidR="00C4678E" w:rsidRDefault="00C4678E" w:rsidP="003517F0"/>
    <w:p w14:paraId="0D6D959F" w14:textId="25560F5C" w:rsidR="0091601D" w:rsidRDefault="0091601D" w:rsidP="003517F0">
      <w:r>
        <w:lastRenderedPageBreak/>
        <w:t>In this article, Ibbs demonstrates that the estimated loss of productivity value can change based</w:t>
      </w:r>
      <w:r w:rsidR="0036203B">
        <w:t xml:space="preserve"> on when the changes occur. For example, if a project has 30% change on a project, </w:t>
      </w:r>
      <w:r w:rsidR="00331386">
        <w:t>a project where changes occur late in the project can expect</w:t>
      </w:r>
      <w:r w:rsidR="00A605D9">
        <w:t xml:space="preserve"> a loss of productivity of </w:t>
      </w:r>
      <w:r w:rsidR="003D1057">
        <w:t xml:space="preserve">45% </w:t>
      </w:r>
      <w:r w:rsidR="005742F2">
        <w:t>whereas</w:t>
      </w:r>
      <w:r w:rsidR="003D1057">
        <w:t xml:space="preserve"> a project with early occurring changes can expect a loss of productivity of just 23%.</w:t>
      </w:r>
    </w:p>
    <w:p w14:paraId="7213D9F4" w14:textId="77777777" w:rsidR="00C4678E" w:rsidRDefault="00C4678E" w:rsidP="003517F0"/>
    <w:p w14:paraId="0F8A71D2" w14:textId="0AB334D7" w:rsidR="000C40D0" w:rsidRDefault="000216D3" w:rsidP="00742D6B">
      <w:pPr>
        <w:pStyle w:val="Heading3"/>
      </w:pPr>
      <w:bookmarkStart w:id="25" w:name="_Toc222041036"/>
      <w:r>
        <w:t xml:space="preserve">Appropriate Use of </w:t>
      </w:r>
      <w:r w:rsidR="000C40D0" w:rsidRPr="00A80A97">
        <w:t>Ibbs Curve Methodology</w:t>
      </w:r>
      <w:bookmarkEnd w:id="25"/>
    </w:p>
    <w:p w14:paraId="53FDC1A0" w14:textId="0F11892E" w:rsidR="00433DB1" w:rsidRPr="00433DB1" w:rsidRDefault="00433DB1" w:rsidP="00433DB1">
      <w:r>
        <w:t xml:space="preserve">The Ibbs </w:t>
      </w:r>
      <w:r w:rsidR="00171ADE">
        <w:t>m</w:t>
      </w:r>
      <w:r>
        <w:t>ethodology has an objective measurable aspect to it as the more changes (in cost value) a project</w:t>
      </w:r>
      <w:r w:rsidR="00811397">
        <w:t xml:space="preserve"> experiences</w:t>
      </w:r>
      <w:r>
        <w:t>, the more inefficiency is calculated. The Ibbs</w:t>
      </w:r>
      <w:r w:rsidR="00811397">
        <w:t xml:space="preserve"> </w:t>
      </w:r>
      <w:r w:rsidR="00905D81">
        <w:t>m</w:t>
      </w:r>
      <w:r w:rsidR="00811397">
        <w:t>ethodology</w:t>
      </w:r>
      <w:r>
        <w:t xml:space="preserve"> is often utilized as an accompanying loss of productivity calculation to help verify and add confidence to another </w:t>
      </w:r>
      <w:r w:rsidR="006903CD">
        <w:t xml:space="preserve">applied </w:t>
      </w:r>
      <w:r>
        <w:t xml:space="preserve">methodology. For example, an analyst may utilize the Ibbs </w:t>
      </w:r>
      <w:r w:rsidR="00905D81">
        <w:t>m</w:t>
      </w:r>
      <w:r>
        <w:t xml:space="preserve">ethodology after applying the Measured Mile or Modified Total Cost (or others) </w:t>
      </w:r>
      <w:r w:rsidR="00790A6A">
        <w:t>m</w:t>
      </w:r>
      <w:r>
        <w:t xml:space="preserve">ethodologies, to evaluate the comparison between the analyses. It is not uncommon to </w:t>
      </w:r>
      <w:r w:rsidR="00201BD9">
        <w:t>utilize</w:t>
      </w:r>
      <w:r>
        <w:t xml:space="preserve"> more than one loss of productivity analyses, and the Ibbs </w:t>
      </w:r>
      <w:r w:rsidR="00171ADE">
        <w:t>m</w:t>
      </w:r>
      <w:r>
        <w:t xml:space="preserve">ethodology is often </w:t>
      </w:r>
      <w:r w:rsidR="00811397">
        <w:t>utilized</w:t>
      </w:r>
      <w:r>
        <w:t xml:space="preserve"> in conjunction</w:t>
      </w:r>
      <w:r w:rsidR="00201BD9">
        <w:t>,</w:t>
      </w:r>
      <w:r>
        <w:t xml:space="preserve"> </w:t>
      </w:r>
      <w:r w:rsidR="00201BD9">
        <w:t>due</w:t>
      </w:r>
      <w:r>
        <w:t xml:space="preserve"> to the fact that it is </w:t>
      </w:r>
      <w:r w:rsidR="00811397">
        <w:t>simple</w:t>
      </w:r>
      <w:r>
        <w:t xml:space="preserve"> to apply and calculate.</w:t>
      </w:r>
    </w:p>
    <w:p w14:paraId="5AE1DD62" w14:textId="6B6151C2" w:rsidR="00742D6B" w:rsidRDefault="00742D6B" w:rsidP="00742D6B">
      <w:pPr>
        <w:pStyle w:val="Heading3"/>
      </w:pPr>
      <w:bookmarkStart w:id="26" w:name="_Toc222041037"/>
      <w:r w:rsidRPr="00A80A97">
        <w:t xml:space="preserve">Ibbs </w:t>
      </w:r>
      <w:r w:rsidR="00E92937" w:rsidRPr="00A80A97">
        <w:t xml:space="preserve">Curve </w:t>
      </w:r>
      <w:r w:rsidRPr="00A80A97">
        <w:t>Methodology Results</w:t>
      </w:r>
      <w:bookmarkEnd w:id="26"/>
    </w:p>
    <w:p w14:paraId="671B96C9" w14:textId="502E0CF8" w:rsidR="00745A7A" w:rsidRDefault="00745A7A" w:rsidP="00745A7A">
      <w:r>
        <w:t xml:space="preserve">Below is a table of the loss of productivity percentages based upon </w:t>
      </w:r>
      <w:r w:rsidR="00514FD9">
        <w:t>applying</w:t>
      </w:r>
      <w:r>
        <w:t xml:space="preserve"> Ibb’s studies. The resultant loss of </w:t>
      </w:r>
      <w:r w:rsidR="003F5D70">
        <w:t>productivity when applying Ibb’s formulas spans</w:t>
      </w:r>
      <w:r>
        <w:t xml:space="preserve"> values both greater and lower than what was calculated using the Measured Mile </w:t>
      </w:r>
      <w:r w:rsidR="00905D81">
        <w:t>m</w:t>
      </w:r>
      <w:r>
        <w:t>ethodology</w:t>
      </w:r>
      <w:r w:rsidR="009419E1">
        <w:t xml:space="preserve">. </w:t>
      </w:r>
    </w:p>
    <w:p w14:paraId="089BD3AC" w14:textId="77777777" w:rsidR="00745A7A" w:rsidRDefault="00745A7A" w:rsidP="00745A7A"/>
    <w:p w14:paraId="374A52D3" w14:textId="3750F007" w:rsidR="00660EF7" w:rsidRPr="00745A7A" w:rsidRDefault="00660EF7" w:rsidP="00745A7A">
      <w:r w:rsidRPr="00A80A97">
        <w:t xml:space="preserve">Table </w:t>
      </w:r>
      <w:r>
        <w:t>8</w:t>
      </w:r>
    </w:p>
    <w:tbl>
      <w:tblPr>
        <w:tblStyle w:val="TableGrid"/>
        <w:tblW w:w="0" w:type="auto"/>
        <w:tblLook w:val="04A0" w:firstRow="1" w:lastRow="0" w:firstColumn="1" w:lastColumn="0" w:noHBand="0" w:noVBand="1"/>
      </w:tblPr>
      <w:tblGrid>
        <w:gridCol w:w="1870"/>
        <w:gridCol w:w="1870"/>
        <w:gridCol w:w="1870"/>
        <w:gridCol w:w="1870"/>
        <w:gridCol w:w="1870"/>
      </w:tblGrid>
      <w:tr w:rsidR="00592266" w14:paraId="33317987" w14:textId="77777777" w:rsidTr="008041B2">
        <w:tc>
          <w:tcPr>
            <w:tcW w:w="1870" w:type="dxa"/>
            <w:vAlign w:val="center"/>
          </w:tcPr>
          <w:p w14:paraId="227C2B0A" w14:textId="3A263E23" w:rsidR="001858D4" w:rsidRPr="00260691" w:rsidRDefault="00260691" w:rsidP="008041B2">
            <w:pPr>
              <w:jc w:val="center"/>
              <w:rPr>
                <w:b/>
                <w:bCs/>
              </w:rPr>
            </w:pPr>
            <w:r>
              <w:rPr>
                <w:b/>
                <w:bCs/>
              </w:rPr>
              <w:t>Methodology</w:t>
            </w:r>
          </w:p>
        </w:tc>
        <w:tc>
          <w:tcPr>
            <w:tcW w:w="1870" w:type="dxa"/>
            <w:vAlign w:val="center"/>
          </w:tcPr>
          <w:p w14:paraId="108BDBDA" w14:textId="7721B724" w:rsidR="001858D4" w:rsidRPr="00260691" w:rsidRDefault="001858D4" w:rsidP="008041B2">
            <w:pPr>
              <w:jc w:val="center"/>
              <w:rPr>
                <w:b/>
                <w:bCs/>
              </w:rPr>
            </w:pPr>
            <w:r w:rsidRPr="00260691">
              <w:rPr>
                <w:b/>
                <w:bCs/>
              </w:rPr>
              <w:t>Late</w:t>
            </w:r>
          </w:p>
        </w:tc>
        <w:tc>
          <w:tcPr>
            <w:tcW w:w="1870" w:type="dxa"/>
            <w:vAlign w:val="center"/>
          </w:tcPr>
          <w:p w14:paraId="607DFD08" w14:textId="35CA1781" w:rsidR="001858D4" w:rsidRPr="00260691" w:rsidRDefault="001858D4" w:rsidP="008041B2">
            <w:pPr>
              <w:jc w:val="center"/>
              <w:rPr>
                <w:b/>
                <w:bCs/>
              </w:rPr>
            </w:pPr>
            <w:r w:rsidRPr="00260691">
              <w:rPr>
                <w:b/>
                <w:bCs/>
              </w:rPr>
              <w:t>Normal</w:t>
            </w:r>
          </w:p>
        </w:tc>
        <w:tc>
          <w:tcPr>
            <w:tcW w:w="1870" w:type="dxa"/>
            <w:vAlign w:val="center"/>
          </w:tcPr>
          <w:p w14:paraId="5C60F6A5" w14:textId="3F412DE4" w:rsidR="001858D4" w:rsidRPr="00260691" w:rsidRDefault="001858D4" w:rsidP="008041B2">
            <w:pPr>
              <w:jc w:val="center"/>
              <w:rPr>
                <w:b/>
                <w:bCs/>
              </w:rPr>
            </w:pPr>
            <w:r w:rsidRPr="00260691">
              <w:rPr>
                <w:b/>
                <w:bCs/>
              </w:rPr>
              <w:t>Early</w:t>
            </w:r>
          </w:p>
        </w:tc>
        <w:tc>
          <w:tcPr>
            <w:tcW w:w="1870" w:type="dxa"/>
            <w:vAlign w:val="center"/>
          </w:tcPr>
          <w:p w14:paraId="0EE2F083" w14:textId="531FFB58" w:rsidR="001858D4" w:rsidRPr="00260691" w:rsidRDefault="001858D4" w:rsidP="008041B2">
            <w:pPr>
              <w:jc w:val="center"/>
              <w:rPr>
                <w:b/>
                <w:bCs/>
              </w:rPr>
            </w:pPr>
            <w:r w:rsidRPr="00260691">
              <w:rPr>
                <w:b/>
                <w:bCs/>
              </w:rPr>
              <w:t>Typical</w:t>
            </w:r>
          </w:p>
        </w:tc>
      </w:tr>
      <w:tr w:rsidR="00592266" w14:paraId="22859393" w14:textId="77777777" w:rsidTr="008041B2">
        <w:tc>
          <w:tcPr>
            <w:tcW w:w="1870" w:type="dxa"/>
            <w:vAlign w:val="center"/>
          </w:tcPr>
          <w:p w14:paraId="7204A60F" w14:textId="546C23D9" w:rsidR="001858D4" w:rsidRDefault="001858D4" w:rsidP="008041B2">
            <w:pPr>
              <w:jc w:val="center"/>
            </w:pPr>
            <w:r>
              <w:t>Ibbs Formulas</w:t>
            </w:r>
          </w:p>
        </w:tc>
        <w:tc>
          <w:tcPr>
            <w:tcW w:w="1870" w:type="dxa"/>
            <w:vAlign w:val="center"/>
          </w:tcPr>
          <w:p w14:paraId="376387F5" w14:textId="2205C011" w:rsidR="001858D4" w:rsidRDefault="00F70089" w:rsidP="008041B2">
            <w:pPr>
              <w:jc w:val="center"/>
            </w:pPr>
            <w:r>
              <w:t>50.5%</w:t>
            </w:r>
          </w:p>
        </w:tc>
        <w:tc>
          <w:tcPr>
            <w:tcW w:w="1870" w:type="dxa"/>
            <w:vAlign w:val="center"/>
          </w:tcPr>
          <w:p w14:paraId="00639B3F" w14:textId="3A53CADF" w:rsidR="001858D4" w:rsidRDefault="00F70089" w:rsidP="008041B2">
            <w:pPr>
              <w:jc w:val="center"/>
            </w:pPr>
            <w:r>
              <w:t>37.8%</w:t>
            </w:r>
          </w:p>
        </w:tc>
        <w:tc>
          <w:tcPr>
            <w:tcW w:w="1870" w:type="dxa"/>
            <w:vAlign w:val="center"/>
          </w:tcPr>
          <w:p w14:paraId="0847802E" w14:textId="4A96C5C9" w:rsidR="001858D4" w:rsidRDefault="00F70089" w:rsidP="008041B2">
            <w:pPr>
              <w:jc w:val="center"/>
            </w:pPr>
            <w:r>
              <w:t>26.9%</w:t>
            </w:r>
          </w:p>
        </w:tc>
        <w:tc>
          <w:tcPr>
            <w:tcW w:w="1870" w:type="dxa"/>
            <w:vAlign w:val="center"/>
          </w:tcPr>
          <w:p w14:paraId="3A0D1258" w14:textId="6A772DB5" w:rsidR="001858D4" w:rsidRDefault="00F70089" w:rsidP="008041B2">
            <w:pPr>
              <w:jc w:val="center"/>
            </w:pPr>
            <w:r>
              <w:t>40.1%</w:t>
            </w:r>
          </w:p>
        </w:tc>
      </w:tr>
      <w:tr w:rsidR="00B2567E" w14:paraId="25B0C405" w14:textId="77777777" w:rsidTr="008041B2">
        <w:tc>
          <w:tcPr>
            <w:tcW w:w="1870" w:type="dxa"/>
            <w:vAlign w:val="center"/>
          </w:tcPr>
          <w:p w14:paraId="1C53165F" w14:textId="36C216D1" w:rsidR="001858D4" w:rsidRDefault="001858D4" w:rsidP="008041B2">
            <w:pPr>
              <w:jc w:val="center"/>
            </w:pPr>
            <w:r>
              <w:t>Measured Mile Methodology</w:t>
            </w:r>
          </w:p>
        </w:tc>
        <w:tc>
          <w:tcPr>
            <w:tcW w:w="7480" w:type="dxa"/>
            <w:gridSpan w:val="4"/>
            <w:vAlign w:val="center"/>
          </w:tcPr>
          <w:p w14:paraId="316FB648" w14:textId="627A0D11" w:rsidR="001858D4" w:rsidRDefault="00F70089" w:rsidP="008041B2">
            <w:pPr>
              <w:jc w:val="center"/>
            </w:pPr>
            <w:r>
              <w:t>32%</w:t>
            </w:r>
          </w:p>
        </w:tc>
      </w:tr>
    </w:tbl>
    <w:p w14:paraId="39CE0BFB" w14:textId="77777777" w:rsidR="00EC58A1" w:rsidRDefault="00EC58A1" w:rsidP="00EC58A1"/>
    <w:p w14:paraId="5908B031" w14:textId="22A41666" w:rsidR="00F70089" w:rsidRDefault="008D6F23" w:rsidP="00EC58A1">
      <w:r>
        <w:t xml:space="preserve">The Ibb’s formula for normal distribution of changes </w:t>
      </w:r>
      <w:r w:rsidR="000D0950">
        <w:t xml:space="preserve">over </w:t>
      </w:r>
      <w:r w:rsidR="002C5BF5">
        <w:t>the P</w:t>
      </w:r>
      <w:r w:rsidR="000D0950">
        <w:t>roject’s duration yielded a productivity loss of 37.8%, which is 5.8% higher than that</w:t>
      </w:r>
      <w:r>
        <w:t xml:space="preserve"> calculated by the Measured Mile methodology. The criteria defined by Ibbs in his 2008 article regarding normal distribution of changes most closely model the conditions </w:t>
      </w:r>
      <w:r w:rsidR="00100E81">
        <w:t xml:space="preserve">of </w:t>
      </w:r>
      <w:r>
        <w:t xml:space="preserve">this paper’s case study. The formula for Early distribution of changes, however, had a lower variance </w:t>
      </w:r>
      <w:r w:rsidR="00100E81">
        <w:t>than</w:t>
      </w:r>
      <w:r>
        <w:t xml:space="preserve"> the Measured Mile methodology. The variance between Ibbs’s formula for Early distribution and the Measured Mile methodology was only 5.1%.</w:t>
      </w:r>
    </w:p>
    <w:p w14:paraId="5D71E521" w14:textId="77777777" w:rsidR="0043674D" w:rsidRDefault="0043674D" w:rsidP="00EC58A1"/>
    <w:p w14:paraId="5BBE553C" w14:textId="6B165469" w:rsidR="0043674D" w:rsidRDefault="0043674D" w:rsidP="00EC58A1">
      <w:r>
        <w:t xml:space="preserve">A possible explanation </w:t>
      </w:r>
      <w:r w:rsidR="000D0950">
        <w:t xml:space="preserve">for the </w:t>
      </w:r>
      <w:r w:rsidR="00D21A63">
        <w:t xml:space="preserve">higher productivity loss associated with the Ibbs methodology is that its </w:t>
      </w:r>
      <w:r w:rsidR="000D0950">
        <w:t>formulas account for impacts on</w:t>
      </w:r>
      <w:r>
        <w:t xml:space="preserve"> other trades and scopes. The Measure Mile methodology is typically applied to a singular trade and </w:t>
      </w:r>
      <w:r w:rsidR="000D0950">
        <w:t xml:space="preserve">a </w:t>
      </w:r>
      <w:r>
        <w:t>discrete scope. Th</w:t>
      </w:r>
      <w:r w:rsidR="00360542">
        <w:t>e</w:t>
      </w:r>
      <w:r>
        <w:t xml:space="preserve"> impacts </w:t>
      </w:r>
      <w:r w:rsidR="000D0950">
        <w:t xml:space="preserve">on one trade can have a corresponding </w:t>
      </w:r>
      <w:r>
        <w:t xml:space="preserve">ripple effect on other scopes and activities. For example, </w:t>
      </w:r>
      <w:r w:rsidR="000D0950">
        <w:t xml:space="preserve">reduced productivity in underground utility construction due to </w:t>
      </w:r>
      <w:r w:rsidR="00100E81">
        <w:t>differing</w:t>
      </w:r>
      <w:r w:rsidR="000D0950">
        <w:t xml:space="preserve"> site conditions may delay the start of paving and shift it from </w:t>
      </w:r>
      <w:r w:rsidR="00125238">
        <w:t xml:space="preserve">a </w:t>
      </w:r>
      <w:r w:rsidR="000D0950">
        <w:t>preferred to less preferred weather season. The impacts on the underground scope cause</w:t>
      </w:r>
      <w:r w:rsidR="00260691">
        <w:t>s</w:t>
      </w:r>
      <w:r w:rsidR="000D0950">
        <w:t xml:space="preserve"> a compounding and ripple effect </w:t>
      </w:r>
      <w:r w:rsidR="00100E81">
        <w:t>on paving and result</w:t>
      </w:r>
      <w:r w:rsidR="00260691">
        <w:t>s</w:t>
      </w:r>
      <w:r w:rsidR="000D0950">
        <w:t xml:space="preserve"> in a loss of productivity to paving that otherwise had no direct relationship to the </w:t>
      </w:r>
      <w:r w:rsidR="00100E81">
        <w:t>differing site conditions.</w:t>
      </w:r>
    </w:p>
    <w:p w14:paraId="647C9A1E" w14:textId="77777777" w:rsidR="00905D81" w:rsidRDefault="00905D81" w:rsidP="00EC58A1"/>
    <w:p w14:paraId="03400629" w14:textId="78E4614A" w:rsidR="00075335" w:rsidRDefault="000C40D0" w:rsidP="00905D81">
      <w:pPr>
        <w:pStyle w:val="Heading1"/>
      </w:pPr>
      <w:bookmarkStart w:id="27" w:name="_Toc222041038"/>
      <w:r>
        <w:t xml:space="preserve">Summary, </w:t>
      </w:r>
      <w:r w:rsidR="00075335" w:rsidRPr="00A80A97">
        <w:t>Quan</w:t>
      </w:r>
      <w:r w:rsidR="0001236C" w:rsidRPr="00A80A97">
        <w:t>tification</w:t>
      </w:r>
      <w:r>
        <w:t>, and</w:t>
      </w:r>
      <w:r w:rsidR="0001236C" w:rsidRPr="00A80A97">
        <w:t xml:space="preserve"> Comparison </w:t>
      </w:r>
      <w:r>
        <w:t xml:space="preserve">of </w:t>
      </w:r>
      <w:r w:rsidR="0001236C" w:rsidRPr="00A80A97">
        <w:t>Re</w:t>
      </w:r>
      <w:r w:rsidR="0055602C" w:rsidRPr="00A80A97">
        <w:t>s</w:t>
      </w:r>
      <w:r w:rsidR="0001236C" w:rsidRPr="00A80A97">
        <w:t>ults</w:t>
      </w:r>
      <w:bookmarkEnd w:id="27"/>
    </w:p>
    <w:p w14:paraId="5D8A8242" w14:textId="5EC4D3C1" w:rsidR="00E62836" w:rsidRPr="00E62836" w:rsidRDefault="00E62836" w:rsidP="00E62836">
      <w:r>
        <w:t xml:space="preserve">The table below summarizes the results of the </w:t>
      </w:r>
      <w:r w:rsidR="00A31B39">
        <w:t>four (4)</w:t>
      </w:r>
      <w:r>
        <w:t xml:space="preserve"> loss of productivity methodologies applied in CD-4828 to the </w:t>
      </w:r>
      <w:r w:rsidR="000C162C">
        <w:t>wastewater</w:t>
      </w:r>
      <w:r>
        <w:t xml:space="preserve"> construction project studied.</w:t>
      </w:r>
    </w:p>
    <w:p w14:paraId="3195E64B" w14:textId="77777777" w:rsidR="0032017C" w:rsidRPr="00A80A97" w:rsidRDefault="0032017C" w:rsidP="0032017C"/>
    <w:p w14:paraId="35841F2A" w14:textId="3E5C0709" w:rsidR="0032017C" w:rsidRDefault="00E62836" w:rsidP="00CC5A26">
      <w:r>
        <w:t xml:space="preserve">Table </w:t>
      </w:r>
      <w:r w:rsidR="00660EF7">
        <w:t>9</w:t>
      </w:r>
    </w:p>
    <w:tbl>
      <w:tblPr>
        <w:tblW w:w="5000" w:type="pct"/>
        <w:jc w:val="center"/>
        <w:tblLook w:val="04A0" w:firstRow="1" w:lastRow="0" w:firstColumn="1" w:lastColumn="0" w:noHBand="0" w:noVBand="1"/>
      </w:tblPr>
      <w:tblGrid>
        <w:gridCol w:w="5438"/>
        <w:gridCol w:w="3912"/>
      </w:tblGrid>
      <w:tr w:rsidR="00AC7E8E" w:rsidRPr="006D2CC5" w14:paraId="6D4B4EBB" w14:textId="77777777" w:rsidTr="00260691">
        <w:trPr>
          <w:trHeight w:val="600"/>
          <w:tblHeader/>
          <w:jc w:val="center"/>
        </w:trPr>
        <w:tc>
          <w:tcPr>
            <w:tcW w:w="2908" w:type="pct"/>
            <w:tcBorders>
              <w:top w:val="single" w:sz="4" w:space="0" w:color="auto"/>
              <w:left w:val="single" w:sz="4" w:space="0" w:color="auto"/>
              <w:bottom w:val="single" w:sz="4" w:space="0" w:color="auto"/>
              <w:right w:val="single" w:sz="4" w:space="0" w:color="auto"/>
            </w:tcBorders>
            <w:noWrap/>
            <w:vAlign w:val="center"/>
            <w:hideMark/>
          </w:tcPr>
          <w:p w14:paraId="2A70A742" w14:textId="73C42A0D" w:rsidR="00CC5A26" w:rsidRPr="006D2CC5" w:rsidRDefault="00CC5A26" w:rsidP="00C049E6">
            <w:pPr>
              <w:jc w:val="center"/>
              <w:rPr>
                <w:rFonts w:asciiTheme="minorHAnsi" w:hAnsiTheme="minorHAnsi" w:cstheme="minorHAnsi"/>
                <w:b/>
                <w:bCs/>
                <w:color w:val="000000"/>
                <w:szCs w:val="20"/>
              </w:rPr>
            </w:pPr>
            <w:r w:rsidRPr="006D2CC5">
              <w:rPr>
                <w:rFonts w:asciiTheme="minorHAnsi" w:hAnsiTheme="minorHAnsi" w:cstheme="minorHAnsi"/>
                <w:b/>
                <w:bCs/>
                <w:color w:val="000000"/>
                <w:szCs w:val="20"/>
              </w:rPr>
              <w:t>LOP Methodology</w:t>
            </w:r>
          </w:p>
        </w:tc>
        <w:tc>
          <w:tcPr>
            <w:tcW w:w="2092" w:type="pct"/>
            <w:tcBorders>
              <w:top w:val="single" w:sz="4" w:space="0" w:color="auto"/>
              <w:left w:val="nil"/>
              <w:bottom w:val="single" w:sz="4" w:space="0" w:color="auto"/>
              <w:right w:val="single" w:sz="4" w:space="0" w:color="auto"/>
            </w:tcBorders>
            <w:vAlign w:val="center"/>
            <w:hideMark/>
          </w:tcPr>
          <w:p w14:paraId="3ECD5EB3" w14:textId="76E1C54C" w:rsidR="00CC5A26" w:rsidRPr="006D2CC5" w:rsidRDefault="00CC5A26" w:rsidP="00C049E6">
            <w:pPr>
              <w:jc w:val="center"/>
              <w:rPr>
                <w:rFonts w:asciiTheme="minorHAnsi" w:hAnsiTheme="minorHAnsi" w:cstheme="minorHAnsi"/>
                <w:b/>
                <w:bCs/>
                <w:color w:val="000000"/>
                <w:szCs w:val="20"/>
              </w:rPr>
            </w:pPr>
            <w:r w:rsidRPr="006D2CC5">
              <w:rPr>
                <w:rFonts w:asciiTheme="minorHAnsi" w:hAnsiTheme="minorHAnsi" w:cstheme="minorHAnsi"/>
                <w:b/>
                <w:bCs/>
                <w:color w:val="000000"/>
                <w:szCs w:val="20"/>
              </w:rPr>
              <w:t>Loss of Productivity (%)</w:t>
            </w:r>
          </w:p>
        </w:tc>
      </w:tr>
      <w:tr w:rsidR="00AC7E8E" w:rsidRPr="006D2CC5" w14:paraId="39F90991" w14:textId="77777777" w:rsidTr="00260691">
        <w:trPr>
          <w:trHeight w:val="300"/>
          <w:jc w:val="center"/>
        </w:trPr>
        <w:tc>
          <w:tcPr>
            <w:tcW w:w="2908" w:type="pct"/>
            <w:tcBorders>
              <w:top w:val="nil"/>
              <w:left w:val="single" w:sz="4" w:space="0" w:color="auto"/>
              <w:bottom w:val="single" w:sz="4" w:space="0" w:color="auto"/>
              <w:right w:val="single" w:sz="4" w:space="0" w:color="auto"/>
            </w:tcBorders>
            <w:noWrap/>
            <w:vAlign w:val="center"/>
            <w:hideMark/>
          </w:tcPr>
          <w:p w14:paraId="7D18444E" w14:textId="275A06AD" w:rsidR="00CC5A26" w:rsidRPr="006D2CC5" w:rsidRDefault="00CC5A26" w:rsidP="00C049E6">
            <w:pPr>
              <w:jc w:val="center"/>
              <w:rPr>
                <w:rFonts w:asciiTheme="minorHAnsi" w:hAnsiTheme="minorHAnsi" w:cstheme="minorHAnsi"/>
                <w:color w:val="000000"/>
                <w:szCs w:val="20"/>
              </w:rPr>
            </w:pPr>
            <w:r w:rsidRPr="006D2CC5">
              <w:rPr>
                <w:rFonts w:asciiTheme="minorHAnsi" w:hAnsiTheme="minorHAnsi" w:cstheme="minorHAnsi"/>
                <w:color w:val="000000"/>
                <w:szCs w:val="20"/>
              </w:rPr>
              <w:t>Measured Mile</w:t>
            </w:r>
          </w:p>
        </w:tc>
        <w:tc>
          <w:tcPr>
            <w:tcW w:w="2092" w:type="pct"/>
            <w:tcBorders>
              <w:top w:val="nil"/>
              <w:left w:val="nil"/>
              <w:bottom w:val="single" w:sz="4" w:space="0" w:color="auto"/>
              <w:right w:val="single" w:sz="4" w:space="0" w:color="auto"/>
            </w:tcBorders>
            <w:noWrap/>
            <w:vAlign w:val="center"/>
            <w:hideMark/>
          </w:tcPr>
          <w:p w14:paraId="27016597" w14:textId="4C129032" w:rsidR="00CC5A26" w:rsidRPr="006D2CC5" w:rsidRDefault="00CC5A26" w:rsidP="00C049E6">
            <w:pPr>
              <w:jc w:val="center"/>
              <w:rPr>
                <w:rFonts w:asciiTheme="minorHAnsi" w:hAnsiTheme="minorHAnsi" w:cstheme="minorHAnsi"/>
                <w:color w:val="000000"/>
                <w:szCs w:val="20"/>
              </w:rPr>
            </w:pPr>
            <w:r>
              <w:rPr>
                <w:rFonts w:asciiTheme="minorHAnsi" w:hAnsiTheme="minorHAnsi" w:cstheme="minorHAnsi"/>
                <w:color w:val="000000"/>
                <w:szCs w:val="20"/>
              </w:rPr>
              <w:t>32%</w:t>
            </w:r>
          </w:p>
        </w:tc>
      </w:tr>
      <w:tr w:rsidR="00AC7E8E" w:rsidRPr="006D2CC5" w14:paraId="53E0BECA" w14:textId="77777777" w:rsidTr="00260691">
        <w:trPr>
          <w:trHeight w:val="300"/>
          <w:jc w:val="center"/>
        </w:trPr>
        <w:tc>
          <w:tcPr>
            <w:tcW w:w="2908" w:type="pct"/>
            <w:tcBorders>
              <w:top w:val="nil"/>
              <w:left w:val="single" w:sz="4" w:space="0" w:color="auto"/>
              <w:bottom w:val="single" w:sz="4" w:space="0" w:color="auto"/>
              <w:right w:val="single" w:sz="4" w:space="0" w:color="auto"/>
            </w:tcBorders>
            <w:noWrap/>
            <w:vAlign w:val="center"/>
            <w:hideMark/>
          </w:tcPr>
          <w:p w14:paraId="21F0CF07" w14:textId="17B9AAD7" w:rsidR="00CC5A26" w:rsidRPr="006D2CC5" w:rsidRDefault="00CC5A26" w:rsidP="00C049E6">
            <w:pPr>
              <w:jc w:val="center"/>
              <w:rPr>
                <w:rFonts w:asciiTheme="minorHAnsi" w:hAnsiTheme="minorHAnsi" w:cstheme="minorHAnsi"/>
                <w:color w:val="000000"/>
                <w:szCs w:val="20"/>
              </w:rPr>
            </w:pPr>
            <w:r w:rsidRPr="006D2CC5">
              <w:rPr>
                <w:rFonts w:asciiTheme="minorHAnsi" w:hAnsiTheme="minorHAnsi" w:cstheme="minorHAnsi"/>
                <w:color w:val="000000"/>
                <w:szCs w:val="20"/>
              </w:rPr>
              <w:lastRenderedPageBreak/>
              <w:t xml:space="preserve">MCAA </w:t>
            </w:r>
            <w:r w:rsidR="005B604B">
              <w:rPr>
                <w:rFonts w:asciiTheme="minorHAnsi" w:hAnsiTheme="minorHAnsi" w:cstheme="minorHAnsi"/>
                <w:color w:val="000000"/>
                <w:szCs w:val="20"/>
              </w:rPr>
              <w:t>Productivity Factor</w:t>
            </w:r>
          </w:p>
        </w:tc>
        <w:tc>
          <w:tcPr>
            <w:tcW w:w="2092" w:type="pct"/>
            <w:tcBorders>
              <w:top w:val="nil"/>
              <w:left w:val="nil"/>
              <w:bottom w:val="single" w:sz="4" w:space="0" w:color="auto"/>
              <w:right w:val="single" w:sz="4" w:space="0" w:color="auto"/>
            </w:tcBorders>
            <w:noWrap/>
            <w:vAlign w:val="center"/>
            <w:hideMark/>
          </w:tcPr>
          <w:p w14:paraId="2E4300BB" w14:textId="7F32AC32" w:rsidR="00CC5A26" w:rsidRPr="006D2CC5" w:rsidRDefault="00CC5A26" w:rsidP="00C049E6">
            <w:pPr>
              <w:jc w:val="center"/>
              <w:rPr>
                <w:rFonts w:asciiTheme="minorHAnsi" w:hAnsiTheme="minorHAnsi" w:cstheme="minorHAnsi"/>
                <w:color w:val="000000"/>
                <w:szCs w:val="20"/>
              </w:rPr>
            </w:pPr>
            <w:r>
              <w:rPr>
                <w:rFonts w:asciiTheme="minorHAnsi" w:hAnsiTheme="minorHAnsi" w:cstheme="minorHAnsi"/>
                <w:color w:val="000000"/>
                <w:szCs w:val="20"/>
              </w:rPr>
              <w:t>35% to 80%</w:t>
            </w:r>
          </w:p>
        </w:tc>
      </w:tr>
      <w:tr w:rsidR="00AC7E8E" w:rsidRPr="006D2CC5" w14:paraId="4F44EFD1" w14:textId="77777777" w:rsidTr="00260691">
        <w:trPr>
          <w:trHeight w:val="300"/>
          <w:jc w:val="center"/>
        </w:trPr>
        <w:tc>
          <w:tcPr>
            <w:tcW w:w="2908" w:type="pct"/>
            <w:tcBorders>
              <w:top w:val="nil"/>
              <w:left w:val="single" w:sz="4" w:space="0" w:color="auto"/>
              <w:bottom w:val="single" w:sz="4" w:space="0" w:color="auto"/>
              <w:right w:val="single" w:sz="4" w:space="0" w:color="auto"/>
            </w:tcBorders>
            <w:noWrap/>
            <w:vAlign w:val="center"/>
            <w:hideMark/>
          </w:tcPr>
          <w:p w14:paraId="700437CD" w14:textId="77777777" w:rsidR="00CC5A26" w:rsidRPr="006D2CC5" w:rsidRDefault="00CC5A26" w:rsidP="00C049E6">
            <w:pPr>
              <w:jc w:val="center"/>
              <w:rPr>
                <w:rFonts w:asciiTheme="minorHAnsi" w:hAnsiTheme="minorHAnsi" w:cstheme="minorHAnsi"/>
                <w:color w:val="000000"/>
                <w:szCs w:val="20"/>
              </w:rPr>
            </w:pPr>
            <w:r w:rsidRPr="006D2CC5">
              <w:rPr>
                <w:rFonts w:asciiTheme="minorHAnsi" w:hAnsiTheme="minorHAnsi" w:cstheme="minorHAnsi"/>
                <w:color w:val="000000"/>
                <w:szCs w:val="20"/>
              </w:rPr>
              <w:t>Total Cost</w:t>
            </w:r>
          </w:p>
        </w:tc>
        <w:tc>
          <w:tcPr>
            <w:tcW w:w="2092" w:type="pct"/>
            <w:tcBorders>
              <w:top w:val="nil"/>
              <w:left w:val="nil"/>
              <w:bottom w:val="single" w:sz="4" w:space="0" w:color="auto"/>
              <w:right w:val="single" w:sz="4" w:space="0" w:color="auto"/>
            </w:tcBorders>
            <w:noWrap/>
            <w:vAlign w:val="center"/>
            <w:hideMark/>
          </w:tcPr>
          <w:p w14:paraId="6CDDAD4E" w14:textId="5604F8CB" w:rsidR="00CC5A26" w:rsidRPr="006D2CC5" w:rsidRDefault="00A31B39" w:rsidP="00C049E6">
            <w:pPr>
              <w:jc w:val="center"/>
              <w:rPr>
                <w:rFonts w:asciiTheme="minorHAnsi" w:hAnsiTheme="minorHAnsi" w:cstheme="minorHAnsi"/>
                <w:color w:val="000000"/>
                <w:szCs w:val="20"/>
              </w:rPr>
            </w:pPr>
            <w:r>
              <w:rPr>
                <w:rFonts w:asciiTheme="minorHAnsi" w:hAnsiTheme="minorHAnsi" w:cstheme="minorHAnsi"/>
                <w:color w:val="000000"/>
                <w:szCs w:val="20"/>
              </w:rPr>
              <w:t>51%</w:t>
            </w:r>
          </w:p>
        </w:tc>
      </w:tr>
      <w:tr w:rsidR="00AC7E8E" w:rsidRPr="006D2CC5" w14:paraId="2ADF2506" w14:textId="77777777" w:rsidTr="00260691">
        <w:trPr>
          <w:trHeight w:val="300"/>
          <w:jc w:val="center"/>
        </w:trPr>
        <w:tc>
          <w:tcPr>
            <w:tcW w:w="2908" w:type="pct"/>
            <w:tcBorders>
              <w:top w:val="nil"/>
              <w:left w:val="single" w:sz="4" w:space="0" w:color="auto"/>
              <w:bottom w:val="single" w:sz="4" w:space="0" w:color="auto"/>
              <w:right w:val="single" w:sz="4" w:space="0" w:color="auto"/>
            </w:tcBorders>
            <w:noWrap/>
            <w:vAlign w:val="center"/>
            <w:hideMark/>
          </w:tcPr>
          <w:p w14:paraId="106DA65A" w14:textId="4A812F35" w:rsidR="00CC5A26" w:rsidRPr="006D2CC5" w:rsidRDefault="00CC5A26" w:rsidP="00C049E6">
            <w:pPr>
              <w:jc w:val="center"/>
              <w:rPr>
                <w:rFonts w:asciiTheme="minorHAnsi" w:hAnsiTheme="minorHAnsi" w:cstheme="minorHAnsi"/>
                <w:color w:val="000000"/>
                <w:szCs w:val="20"/>
              </w:rPr>
            </w:pPr>
            <w:r w:rsidRPr="006D2CC5">
              <w:rPr>
                <w:rFonts w:asciiTheme="minorHAnsi" w:hAnsiTheme="minorHAnsi" w:cstheme="minorHAnsi"/>
                <w:color w:val="000000"/>
                <w:szCs w:val="20"/>
              </w:rPr>
              <w:t xml:space="preserve">Ibbs </w:t>
            </w:r>
          </w:p>
        </w:tc>
        <w:tc>
          <w:tcPr>
            <w:tcW w:w="2092" w:type="pct"/>
            <w:tcBorders>
              <w:top w:val="nil"/>
              <w:left w:val="nil"/>
              <w:bottom w:val="single" w:sz="4" w:space="0" w:color="auto"/>
              <w:right w:val="single" w:sz="4" w:space="0" w:color="auto"/>
            </w:tcBorders>
            <w:noWrap/>
            <w:vAlign w:val="center"/>
            <w:hideMark/>
          </w:tcPr>
          <w:p w14:paraId="59938969" w14:textId="45C30B4C" w:rsidR="00CC5A26" w:rsidRPr="006D2CC5" w:rsidRDefault="00A31B39" w:rsidP="00C049E6">
            <w:pPr>
              <w:jc w:val="center"/>
              <w:rPr>
                <w:rFonts w:asciiTheme="minorHAnsi" w:hAnsiTheme="minorHAnsi" w:cstheme="minorHAnsi"/>
                <w:color w:val="000000"/>
                <w:szCs w:val="20"/>
              </w:rPr>
            </w:pPr>
            <w:r>
              <w:rPr>
                <w:rFonts w:asciiTheme="minorHAnsi" w:hAnsiTheme="minorHAnsi" w:cstheme="minorHAnsi"/>
                <w:color w:val="000000"/>
                <w:szCs w:val="20"/>
              </w:rPr>
              <w:t>26.9% to</w:t>
            </w:r>
            <w:r w:rsidR="00CC5A26" w:rsidRPr="006D2CC5">
              <w:rPr>
                <w:rFonts w:asciiTheme="minorHAnsi" w:hAnsiTheme="minorHAnsi" w:cstheme="minorHAnsi"/>
                <w:color w:val="000000"/>
                <w:szCs w:val="20"/>
              </w:rPr>
              <w:t> </w:t>
            </w:r>
            <w:r>
              <w:t>50.5%%</w:t>
            </w:r>
          </w:p>
        </w:tc>
      </w:tr>
    </w:tbl>
    <w:p w14:paraId="007408B3" w14:textId="77777777" w:rsidR="00E62836" w:rsidRDefault="00E62836" w:rsidP="0032017C"/>
    <w:p w14:paraId="6586D9C6" w14:textId="7DC008CD" w:rsidR="00E62836" w:rsidRDefault="004A3665" w:rsidP="0032017C">
      <w:pPr>
        <w:rPr>
          <w:rFonts w:asciiTheme="minorHAnsi" w:hAnsiTheme="minorHAnsi" w:cstheme="minorHAnsi"/>
          <w:color w:val="000000"/>
          <w:szCs w:val="20"/>
        </w:rPr>
      </w:pPr>
      <w:r>
        <w:t xml:space="preserve">The </w:t>
      </w:r>
      <w:r w:rsidR="00B21FA2">
        <w:t>Ibb's</w:t>
      </w:r>
      <w:r w:rsidR="005B604B">
        <w:t xml:space="preserve"> </w:t>
      </w:r>
      <w:r w:rsidR="009A772B">
        <w:rPr>
          <w:rFonts w:asciiTheme="minorHAnsi" w:hAnsiTheme="minorHAnsi" w:cstheme="minorHAnsi"/>
          <w:color w:val="000000"/>
          <w:szCs w:val="20"/>
        </w:rPr>
        <w:t xml:space="preserve">methodology produced loss of productivity factors similar to the Measure Mile methodology; however, </w:t>
      </w:r>
      <w:r w:rsidR="003F5D70">
        <w:rPr>
          <w:rFonts w:asciiTheme="minorHAnsi" w:hAnsiTheme="minorHAnsi" w:cstheme="minorHAnsi"/>
          <w:color w:val="000000"/>
          <w:szCs w:val="20"/>
        </w:rPr>
        <w:t>detailed knowledge of Ibb’s studies is necessary in order to accurately and appropriately apply. The MCAA Productivity Factor methodology also produced some results that were aligned with the</w:t>
      </w:r>
      <w:r w:rsidR="004B3B3C">
        <w:rPr>
          <w:rFonts w:asciiTheme="minorHAnsi" w:hAnsiTheme="minorHAnsi" w:cstheme="minorHAnsi"/>
          <w:color w:val="000000"/>
          <w:szCs w:val="20"/>
        </w:rPr>
        <w:t xml:space="preserve"> Measured Mile methodology, but, typically requires a conservative approach</w:t>
      </w:r>
      <w:r w:rsidR="00816056">
        <w:rPr>
          <w:rFonts w:asciiTheme="minorHAnsi" w:hAnsiTheme="minorHAnsi" w:cstheme="minorHAnsi"/>
          <w:color w:val="000000"/>
          <w:szCs w:val="20"/>
        </w:rPr>
        <w:t xml:space="preserve"> in identifying appropriate factors and accessing severity ratings. There is a </w:t>
      </w:r>
      <w:r w:rsidR="000F72BA">
        <w:rPr>
          <w:rFonts w:asciiTheme="minorHAnsi" w:hAnsiTheme="minorHAnsi" w:cstheme="minorHAnsi"/>
          <w:color w:val="000000"/>
          <w:szCs w:val="20"/>
        </w:rPr>
        <w:t xml:space="preserve">real and </w:t>
      </w:r>
      <w:r w:rsidR="00816056">
        <w:rPr>
          <w:rFonts w:asciiTheme="minorHAnsi" w:hAnsiTheme="minorHAnsi" w:cstheme="minorHAnsi"/>
          <w:color w:val="000000"/>
          <w:szCs w:val="20"/>
        </w:rPr>
        <w:t xml:space="preserve">material possibility that applying MCAA Productivity Factors can lead to </w:t>
      </w:r>
      <w:r w:rsidR="000F72BA">
        <w:rPr>
          <w:rFonts w:asciiTheme="minorHAnsi" w:hAnsiTheme="minorHAnsi" w:cstheme="minorHAnsi"/>
          <w:color w:val="000000"/>
          <w:szCs w:val="20"/>
        </w:rPr>
        <w:t xml:space="preserve">an </w:t>
      </w:r>
      <w:r w:rsidR="00B21FA2">
        <w:rPr>
          <w:rFonts w:asciiTheme="minorHAnsi" w:hAnsiTheme="minorHAnsi" w:cstheme="minorHAnsi"/>
          <w:color w:val="000000"/>
          <w:szCs w:val="20"/>
        </w:rPr>
        <w:t>inaccurate</w:t>
      </w:r>
      <w:r w:rsidR="000F72BA">
        <w:rPr>
          <w:rFonts w:asciiTheme="minorHAnsi" w:hAnsiTheme="minorHAnsi" w:cstheme="minorHAnsi"/>
          <w:color w:val="000000"/>
          <w:szCs w:val="20"/>
        </w:rPr>
        <w:t xml:space="preserve"> quantification of loss of productivity damages.</w:t>
      </w:r>
    </w:p>
    <w:p w14:paraId="0C5A800D" w14:textId="77777777" w:rsidR="00B21FA2" w:rsidRPr="00A80A97" w:rsidRDefault="00B21FA2" w:rsidP="0032017C"/>
    <w:p w14:paraId="74F228FD" w14:textId="77777777" w:rsidR="00450EB9" w:rsidRPr="00A80A97" w:rsidRDefault="0032017C" w:rsidP="00A320F9">
      <w:pPr>
        <w:pStyle w:val="Heading1"/>
      </w:pPr>
      <w:bookmarkStart w:id="28" w:name="_Toc219884399"/>
      <w:bookmarkStart w:id="29" w:name="_Toc222041039"/>
      <w:r w:rsidRPr="00A80A97">
        <w:t>C</w:t>
      </w:r>
      <w:r w:rsidR="00450EB9" w:rsidRPr="00A80A97">
        <w:t>onclusion</w:t>
      </w:r>
      <w:bookmarkEnd w:id="28"/>
      <w:bookmarkEnd w:id="29"/>
    </w:p>
    <w:p w14:paraId="5E3FE3A8" w14:textId="77777777" w:rsidR="00632C37" w:rsidRPr="00632C37" w:rsidRDefault="00632C37" w:rsidP="00632C37">
      <w:r w:rsidRPr="00632C37">
        <w:t>The analysis of the Project presented in this paper highlights the significant variability inherent in quantifying loss of productivity within the construction industry. Through the rare opportunity provided by the Project’s exemplary records, we have demonstrated that even when using the same dataset, different industry-standard methodologies can yield vastly different results. As shown in the comparison of the Measured Mile, MCAA Factors, Total Cost, and Ibbs Formulas, the calculated inefficiency percentages ranged from as low as 26.9% to as high as 80% or more.</w:t>
      </w:r>
    </w:p>
    <w:p w14:paraId="49D81FF2" w14:textId="77777777" w:rsidR="00632C37" w:rsidRPr="00632C37" w:rsidRDefault="00632C37" w:rsidP="00632C37"/>
    <w:p w14:paraId="35FBF850" w14:textId="17D8FDAF" w:rsidR="00632C37" w:rsidRPr="00632C37" w:rsidRDefault="00632C37" w:rsidP="00632C37">
      <w:r>
        <w:t>T</w:t>
      </w:r>
      <w:r w:rsidRPr="00632C37">
        <w:t>here is no single "de facto" best methodology for every construction dispute. While the Measured Mile remains the preferred "gold standard" due to its reliance on project-specific unimpacted data, its application is not always feasible or appropriate depending on the nature of the disruptions and the quality of the records.</w:t>
      </w:r>
      <w:r>
        <w:t xml:space="preserve"> </w:t>
      </w:r>
      <w:r w:rsidRPr="00632C37">
        <w:t>Ultimately, the "best" method is the one that is most appropriate and fitting for the specific facts of the case. For instance, while the Total Cost method might seem straightforward, this case study revealed how it can inadvertently "heal the wounds" of an owner-caused impact if the contractor’s baseline performance was exceptionally high, or conversely, conflate contractor-driven issues with owner-caused delays.</w:t>
      </w:r>
    </w:p>
    <w:p w14:paraId="684FCC52" w14:textId="77777777" w:rsidR="00632C37" w:rsidRPr="00632C37" w:rsidRDefault="00632C37" w:rsidP="00632C37"/>
    <w:p w14:paraId="1057AE97" w14:textId="747E02B4" w:rsidR="00632C37" w:rsidRPr="00632C37" w:rsidRDefault="00632C37" w:rsidP="00632C37">
      <w:r w:rsidRPr="00632C37">
        <w:t xml:space="preserve">Applying these methodologies is </w:t>
      </w:r>
      <w:r>
        <w:t>not a simple</w:t>
      </w:r>
      <w:r w:rsidRPr="00632C37">
        <w:t xml:space="preserve"> clerical exercise; it requires deep understanding and experience. As demonstrated:</w:t>
      </w:r>
    </w:p>
    <w:p w14:paraId="0ED18BE8" w14:textId="77777777" w:rsidR="00632C37" w:rsidRPr="00632C37" w:rsidRDefault="00632C37" w:rsidP="00632C37">
      <w:pPr>
        <w:numPr>
          <w:ilvl w:val="0"/>
          <w:numId w:val="21"/>
        </w:numPr>
      </w:pPr>
      <w:r w:rsidRPr="00632C37">
        <w:t>MCAA Factors require a disciplined, conservative approach to avoid "double-dipping" and subjective overreach.</w:t>
      </w:r>
    </w:p>
    <w:p w14:paraId="17F10DD6" w14:textId="77777777" w:rsidR="00632C37" w:rsidRPr="00632C37" w:rsidRDefault="00632C37" w:rsidP="00632C37">
      <w:pPr>
        <w:numPr>
          <w:ilvl w:val="0"/>
          <w:numId w:val="21"/>
        </w:numPr>
      </w:pPr>
      <w:r w:rsidRPr="00632C37">
        <w:t>Ibbs Formulas require a nuanced understanding of when changes occurred in the project lifecycle to select the correct distribution curve.</w:t>
      </w:r>
    </w:p>
    <w:p w14:paraId="15AC9A52" w14:textId="77777777" w:rsidR="00632C37" w:rsidRPr="00632C37" w:rsidRDefault="00632C37" w:rsidP="00632C37">
      <w:pPr>
        <w:numPr>
          <w:ilvl w:val="0"/>
          <w:numId w:val="21"/>
        </w:numPr>
      </w:pPr>
      <w:r w:rsidRPr="00632C37">
        <w:t>Measured Mile analysis requires a surgical ability to isolate truly unimpacted periods to ensure a valid benchmark.</w:t>
      </w:r>
    </w:p>
    <w:p w14:paraId="36620B21" w14:textId="77777777" w:rsidR="00632C37" w:rsidRPr="00632C37" w:rsidRDefault="00632C37" w:rsidP="00632C37"/>
    <w:p w14:paraId="00601BD8" w14:textId="77777777" w:rsidR="00632C37" w:rsidRPr="00632C37" w:rsidRDefault="00632C37" w:rsidP="00632C37">
      <w:r w:rsidRPr="00632C37">
        <w:t>It is important to note that this paper is intended as a case study of a single project to facilitate a direct comparison between methods. While it provides critical insights into the sensitivities and potential biases of each approach, it does not—and cannot—provide a universal "how-to" guide for every project. Every construction dispute is a unique puzzle. The practitioner's goal is not simply to choose the method that yields the highest or lowest number, but to apply the methodology that most accurately and defensibly reflects the reality of the work performed under the specific constraints of the project records and impact events.</w:t>
      </w:r>
    </w:p>
    <w:p w14:paraId="27DA0991" w14:textId="77777777" w:rsidR="00521817" w:rsidRPr="00A80A97" w:rsidRDefault="00521817" w:rsidP="00521817"/>
    <w:bookmarkStart w:id="30" w:name="_Toc222041040" w:displacedByCustomXml="next"/>
    <w:bookmarkStart w:id="31" w:name="_Toc219884400" w:displacedByCustomXml="next"/>
    <w:sdt>
      <w:sdtPr>
        <w:rPr>
          <w:b w:val="0"/>
          <w:bCs w:val="0"/>
        </w:rPr>
        <w:id w:val="696130751"/>
        <w:docPartObj>
          <w:docPartGallery w:val="Bibliographies"/>
          <w:docPartUnique/>
        </w:docPartObj>
      </w:sdtPr>
      <w:sdtContent>
        <w:p w14:paraId="63F6AD1D" w14:textId="51DCDDBC" w:rsidR="00F25A5F" w:rsidRPr="00A80A97" w:rsidRDefault="00F25A5F" w:rsidP="0018236A">
          <w:pPr>
            <w:pStyle w:val="Heading1"/>
            <w:pageBreakBefore/>
          </w:pPr>
          <w:r w:rsidRPr="00A80A97">
            <w:t>References</w:t>
          </w:r>
          <w:bookmarkEnd w:id="31"/>
          <w:bookmarkEnd w:id="30"/>
        </w:p>
        <w:sdt>
          <w:sdtPr>
            <w:id w:val="-573587230"/>
            <w:bibliography/>
          </w:sdtPr>
          <w:sdtContent>
            <w:p w14:paraId="0FE68F1C" w14:textId="50151CBF" w:rsidR="007D2200" w:rsidRDefault="00344036" w:rsidP="007D2200">
              <w:pPr>
                <w:spacing w:after="160" w:line="278" w:lineRule="auto"/>
                <w:jc w:val="left"/>
              </w:pPr>
              <w:r>
                <w:t xml:space="preserve">[1] </w:t>
              </w:r>
              <w:r w:rsidR="007D2200">
                <w:t>William Ibbs, Xiaodan Sun; ASCELibrary.org, “</w:t>
              </w:r>
              <w:r w:rsidR="007D2200" w:rsidRPr="00A80A97">
                <w:t>Use of Mechanical Contractors Association of America Method in Loss of Productivity Claims” Editorial</w:t>
              </w:r>
            </w:p>
            <w:p w14:paraId="1B0CE7B6" w14:textId="6A57658E" w:rsidR="007D2200" w:rsidRDefault="00344036" w:rsidP="00344036">
              <w:pPr>
                <w:spacing w:after="160" w:line="278" w:lineRule="auto"/>
                <w:jc w:val="left"/>
              </w:pPr>
              <w:r>
                <w:t xml:space="preserve">[2] </w:t>
              </w:r>
              <w:r w:rsidR="007D2200">
                <w:t>William Doyle; GatherInsights.com, “</w:t>
              </w:r>
              <w:r w:rsidR="007D2200" w:rsidRPr="00E933D1">
                <w:t>Construction Measured Mile Analysis Guide</w:t>
              </w:r>
              <w:r w:rsidR="007D2200">
                <w:t>”</w:t>
              </w:r>
            </w:p>
            <w:p w14:paraId="1EDC07B1" w14:textId="383144CC" w:rsidR="00BF397A" w:rsidRPr="008D556C" w:rsidRDefault="00175C12" w:rsidP="008D556C">
              <w:pPr>
                <w:spacing w:after="160" w:line="278" w:lineRule="auto"/>
                <w:jc w:val="left"/>
              </w:pPr>
              <w:r>
                <w:t>[3] William Ibbs,</w:t>
              </w:r>
              <w:r w:rsidR="00917852">
                <w:t xml:space="preserve"> </w:t>
              </w:r>
              <w:r w:rsidR="005C613B">
                <w:t>Gerald McEniry</w:t>
              </w:r>
              <w:r w:rsidR="00A12FE3">
                <w:t xml:space="preserve">; </w:t>
              </w:r>
              <w:r w:rsidRPr="00175C12">
                <w:t>Evaluating the Cumulative Impact of Changes on Labor Productivity —an Evolving Discussion</w:t>
              </w:r>
              <w:r w:rsidR="00F25A5F" w:rsidRPr="00A80A97">
                <w:fldChar w:fldCharType="begin"/>
              </w:r>
              <w:r w:rsidR="00F25A5F" w:rsidRPr="00A80A97">
                <w:instrText xml:space="preserve"> BIBLIOGRAPHY </w:instrText>
              </w:r>
              <w:r w:rsidR="00F25A5F" w:rsidRPr="00A80A97">
                <w:fldChar w:fldCharType="separate"/>
              </w:r>
            </w:p>
            <w:p w14:paraId="4E55286A" w14:textId="77777777" w:rsidR="00BF397A" w:rsidRDefault="00BF397A">
              <w:pPr>
                <w:divId w:val="1575117594"/>
                <w:rPr>
                  <w:noProof/>
                </w:rPr>
              </w:pPr>
            </w:p>
            <w:p w14:paraId="2069B254" w14:textId="6CB4C364" w:rsidR="00F25A5F" w:rsidRPr="00A80A97" w:rsidRDefault="00F25A5F">
              <w:r w:rsidRPr="00A80A97">
                <w:rPr>
                  <w:b/>
                  <w:bCs/>
                </w:rPr>
                <w:fldChar w:fldCharType="end"/>
              </w:r>
            </w:p>
          </w:sdtContent>
        </w:sdt>
      </w:sdtContent>
    </w:sdt>
    <w:p w14:paraId="328DB1E0" w14:textId="1E8C3DC3" w:rsidR="00F25A5F" w:rsidRPr="00A80A97" w:rsidRDefault="00786F53" w:rsidP="00DC6F81">
      <w:pPr>
        <w:jc w:val="center"/>
      </w:pPr>
      <w:r>
        <w:t>John A. Armstrong; Matthew Marzilli</w:t>
      </w:r>
    </w:p>
    <w:p w14:paraId="6F7801ED" w14:textId="3B3B9AFE" w:rsidR="00DC6F81" w:rsidRPr="00A80A97" w:rsidRDefault="00786F53" w:rsidP="00DC6F81">
      <w:pPr>
        <w:jc w:val="center"/>
      </w:pPr>
      <w:r>
        <w:t>Civic CM</w:t>
      </w:r>
    </w:p>
    <w:p w14:paraId="4E72D8F0" w14:textId="79A6D26B" w:rsidR="00DC6F81" w:rsidRPr="00786F53" w:rsidRDefault="00786F53" w:rsidP="00DC6F81">
      <w:pPr>
        <w:jc w:val="center"/>
      </w:pPr>
      <w:hyperlink r:id="rId13" w:history="1">
        <w:r w:rsidRPr="00786F53">
          <w:rPr>
            <w:rStyle w:val="Hyperlink"/>
          </w:rPr>
          <w:t>jarmstrong@civic-cm.com</w:t>
        </w:r>
      </w:hyperlink>
      <w:r w:rsidRPr="00786F53">
        <w:t xml:space="preserve">; </w:t>
      </w:r>
      <w:hyperlink r:id="rId14" w:history="1">
        <w:r w:rsidRPr="00A14E6C">
          <w:rPr>
            <w:rStyle w:val="Hyperlink"/>
          </w:rPr>
          <w:t>mmarzilli@civic-cm.com</w:t>
        </w:r>
      </w:hyperlink>
      <w:r>
        <w:t xml:space="preserve"> </w:t>
      </w:r>
    </w:p>
    <w:sectPr w:rsidR="00DC6F81" w:rsidRPr="00786F53" w:rsidSect="00450EB9">
      <w:headerReference w:type="default" r:id="rId15"/>
      <w:footerReference w:type="even" r:id="rId16"/>
      <w:footerReference w:type="default" r:id="rId17"/>
      <w:type w:val="continuous"/>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0C6DD" w14:textId="77777777" w:rsidR="0040528F" w:rsidRPr="00A80A97" w:rsidRDefault="0040528F" w:rsidP="00A320F9">
      <w:r w:rsidRPr="00A80A97">
        <w:separator/>
      </w:r>
    </w:p>
  </w:endnote>
  <w:endnote w:type="continuationSeparator" w:id="0">
    <w:p w14:paraId="4303FB98" w14:textId="77777777" w:rsidR="0040528F" w:rsidRPr="00A80A97" w:rsidRDefault="0040528F" w:rsidP="00A320F9">
      <w:r w:rsidRPr="00A80A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51E9C" w14:textId="77777777" w:rsidR="003A72A1" w:rsidRPr="00A80A97" w:rsidRDefault="00DC6BF9" w:rsidP="00A320F9">
    <w:r w:rsidRPr="00A80A97">
      <w:fldChar w:fldCharType="begin"/>
    </w:r>
    <w:r w:rsidR="003A72A1" w:rsidRPr="00A80A97">
      <w:instrText xml:space="preserve">PAGE  </w:instrText>
    </w:r>
    <w:r w:rsidRPr="00A80A97">
      <w:fldChar w:fldCharType="separate"/>
    </w:r>
    <w:r w:rsidR="00140D82" w:rsidRPr="00A80A97">
      <w:t>1</w:t>
    </w:r>
    <w:r w:rsidRPr="00A80A97">
      <w:fldChar w:fldCharType="end"/>
    </w:r>
  </w:p>
  <w:p w14:paraId="4EA43AF6" w14:textId="77777777" w:rsidR="003A72A1" w:rsidRPr="00A80A97" w:rsidRDefault="003A72A1" w:rsidP="00A320F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CE23" w14:textId="02D6208B" w:rsidR="003A72A1" w:rsidRPr="00A80A97" w:rsidRDefault="006D49EB" w:rsidP="00F25A5F">
    <w:pPr>
      <w:jc w:val="center"/>
      <w:rPr>
        <w:szCs w:val="20"/>
      </w:rPr>
    </w:pPr>
    <w:r w:rsidRPr="00A80A97">
      <w:rPr>
        <w:szCs w:val="20"/>
      </w:rPr>
      <w:t>CDR-4828</w:t>
    </w:r>
  </w:p>
  <w:p w14:paraId="14FBCDBD" w14:textId="77777777" w:rsidR="003A72A1" w:rsidRPr="00A80A97" w:rsidRDefault="003A72A1" w:rsidP="00F25A5F">
    <w:pPr>
      <w:jc w:val="center"/>
      <w:rPr>
        <w:szCs w:val="20"/>
      </w:rPr>
    </w:pPr>
    <w:r w:rsidRPr="00A80A97">
      <w:rPr>
        <w:szCs w:val="20"/>
      </w:rPr>
      <w:t xml:space="preserve">Copyright © AACE® International. </w:t>
    </w:r>
    <w:r w:rsidRPr="00A80A97">
      <w:rPr>
        <w:szCs w:val="20"/>
      </w:rPr>
      <w:br/>
      <w:t xml:space="preserve">This paper may not be reproduced or republished without </w:t>
    </w:r>
    <w:proofErr w:type="gramStart"/>
    <w:r w:rsidRPr="00A80A97">
      <w:rPr>
        <w:szCs w:val="20"/>
      </w:rPr>
      <w:t>expressed</w:t>
    </w:r>
    <w:proofErr w:type="gramEnd"/>
    <w:r w:rsidRPr="00A80A97">
      <w:rPr>
        <w:szCs w:val="20"/>
      </w:rPr>
      <w:t xml:space="preserve"> written consent from AACE</w:t>
    </w:r>
    <w:r w:rsidRPr="00A80A97">
      <w:rPr>
        <w:rFonts w:cs="Calibri"/>
        <w:szCs w:val="20"/>
      </w:rPr>
      <w:t>®</w:t>
    </w:r>
    <w:r w:rsidRPr="00A80A97">
      <w:rPr>
        <w:szCs w:val="20"/>
      </w:rPr>
      <w:t xml:space="preserve"> International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3AA3D" w14:textId="77777777" w:rsidR="0040528F" w:rsidRPr="00A80A97" w:rsidRDefault="0040528F" w:rsidP="00A320F9">
      <w:r w:rsidRPr="00A80A97">
        <w:separator/>
      </w:r>
    </w:p>
  </w:footnote>
  <w:footnote w:type="continuationSeparator" w:id="0">
    <w:p w14:paraId="0B021D84" w14:textId="77777777" w:rsidR="0040528F" w:rsidRPr="00A80A97" w:rsidRDefault="0040528F" w:rsidP="00A320F9">
      <w:r w:rsidRPr="00A80A97">
        <w:continuationSeparator/>
      </w:r>
    </w:p>
  </w:footnote>
  <w:footnote w:id="1">
    <w:p w14:paraId="31ACB30C" w14:textId="18B29079" w:rsidR="002905F7" w:rsidRPr="00A80A97" w:rsidRDefault="002905F7">
      <w:pPr>
        <w:pStyle w:val="FootnoteText"/>
      </w:pPr>
      <w:r w:rsidRPr="00A80A97">
        <w:rPr>
          <w:rStyle w:val="FootnoteReference"/>
        </w:rPr>
        <w:footnoteRef/>
      </w:r>
      <w:r w:rsidRPr="00A80A97">
        <w:t xml:space="preserve"> Use of Mechanical Contractors Association of America Method in Loss of Productivity Claims Editorial</w:t>
      </w:r>
    </w:p>
  </w:footnote>
  <w:footnote w:id="2">
    <w:p w14:paraId="7FB223A1" w14:textId="6B1FED09" w:rsidR="00113C6E" w:rsidRDefault="00113C6E">
      <w:pPr>
        <w:pStyle w:val="FootnoteText"/>
      </w:pPr>
      <w:r>
        <w:rPr>
          <w:rStyle w:val="FootnoteReference"/>
        </w:rPr>
        <w:footnoteRef/>
      </w:r>
      <w:r>
        <w:t xml:space="preserve"> Modif</w:t>
      </w:r>
      <w:r w:rsidR="00201BD9">
        <w:t>ying</w:t>
      </w:r>
      <w:r>
        <w:t xml:space="preserve"> payment applications involves the removal of level of effort pay items like general conditions.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BCF0C" w14:textId="35842B82" w:rsidR="003A72A1" w:rsidRPr="00A80A97" w:rsidRDefault="003A72A1" w:rsidP="00F25A5F">
    <w:pPr>
      <w:jc w:val="center"/>
    </w:pPr>
    <w:bookmarkStart w:id="32" w:name="_Hlk33620390"/>
    <w:bookmarkStart w:id="33" w:name="_Hlk33620391"/>
    <w:r w:rsidRPr="00A80A97">
      <w:t>20</w:t>
    </w:r>
    <w:r w:rsidR="00FB784E" w:rsidRPr="00A80A97">
      <w:t>2</w:t>
    </w:r>
    <w:r w:rsidR="00521817" w:rsidRPr="00A80A97">
      <w:t>6</w:t>
    </w:r>
    <w:r w:rsidRPr="00A80A97">
      <w:t xml:space="preserve"> AACE</w:t>
    </w:r>
    <w:r w:rsidRPr="00A80A97">
      <w:rPr>
        <w:rFonts w:cs="Calibri"/>
      </w:rPr>
      <w:t>®</w:t>
    </w:r>
    <w:r w:rsidRPr="00A80A97">
      <w:t xml:space="preserve"> INTERNATIONAL TECHNICAL PAPER</w:t>
    </w:r>
  </w:p>
  <w:bookmarkEnd w:id="32"/>
  <w:bookmarkEnd w:id="33"/>
  <w:p w14:paraId="5762E87C" w14:textId="77777777" w:rsidR="003A72A1" w:rsidRPr="00A80A97" w:rsidRDefault="003A72A1" w:rsidP="00A32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3222B"/>
    <w:multiLevelType w:val="hybridMultilevel"/>
    <w:tmpl w:val="FB02210C"/>
    <w:lvl w:ilvl="0" w:tplc="F72631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BA69E6"/>
    <w:multiLevelType w:val="hybridMultilevel"/>
    <w:tmpl w:val="D38068D0"/>
    <w:lvl w:ilvl="0" w:tplc="EB70E5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9A33E0"/>
    <w:multiLevelType w:val="hybridMultilevel"/>
    <w:tmpl w:val="AEA20D54"/>
    <w:lvl w:ilvl="0" w:tplc="F224FC6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224240"/>
    <w:multiLevelType w:val="multilevel"/>
    <w:tmpl w:val="AA8C5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9D0365"/>
    <w:multiLevelType w:val="hybridMultilevel"/>
    <w:tmpl w:val="AE8498EE"/>
    <w:lvl w:ilvl="0" w:tplc="5484C24E">
      <w:start w:val="1"/>
      <w:numFmt w:val="decimal"/>
      <w:pStyle w:val="AACENumList"/>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B91598"/>
    <w:multiLevelType w:val="hybridMultilevel"/>
    <w:tmpl w:val="2B8AC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3E2367"/>
    <w:multiLevelType w:val="hybridMultilevel"/>
    <w:tmpl w:val="7EEED2A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C465A2E"/>
    <w:multiLevelType w:val="hybridMultilevel"/>
    <w:tmpl w:val="99E69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DC5BC4"/>
    <w:multiLevelType w:val="hybridMultilevel"/>
    <w:tmpl w:val="4E28D9DA"/>
    <w:lvl w:ilvl="0" w:tplc="B8BA2A2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4DED4ECE"/>
    <w:multiLevelType w:val="hybridMultilevel"/>
    <w:tmpl w:val="65E0A3E2"/>
    <w:lvl w:ilvl="0" w:tplc="AE08EC74">
      <w:start w:val="1"/>
      <w:numFmt w:val="lowerLetter"/>
      <w:pStyle w:val="AACENumSub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87471F"/>
    <w:multiLevelType w:val="hybridMultilevel"/>
    <w:tmpl w:val="CDEC8338"/>
    <w:lvl w:ilvl="0" w:tplc="F224FC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8753E8A"/>
    <w:multiLevelType w:val="hybridMultilevel"/>
    <w:tmpl w:val="F1CCA4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E52219"/>
    <w:multiLevelType w:val="hybridMultilevel"/>
    <w:tmpl w:val="8762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0C7C67"/>
    <w:multiLevelType w:val="hybridMultilevel"/>
    <w:tmpl w:val="B6EE6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BF335E"/>
    <w:multiLevelType w:val="hybridMultilevel"/>
    <w:tmpl w:val="CDEC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5906AD"/>
    <w:multiLevelType w:val="hybridMultilevel"/>
    <w:tmpl w:val="998AB89A"/>
    <w:lvl w:ilvl="0" w:tplc="67267A0E">
      <w:start w:val="1"/>
      <w:numFmt w:val="bullet"/>
      <w:pStyle w:val="AACE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EB6DCF"/>
    <w:multiLevelType w:val="hybridMultilevel"/>
    <w:tmpl w:val="FE407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B11FA7"/>
    <w:multiLevelType w:val="hybridMultilevel"/>
    <w:tmpl w:val="F01ACD98"/>
    <w:lvl w:ilvl="0" w:tplc="FB882C0E">
      <w:start w:val="1"/>
      <w:numFmt w:val="bullet"/>
      <w:lvlText w:val=""/>
      <w:lvlJc w:val="left"/>
      <w:pPr>
        <w:tabs>
          <w:tab w:val="num" w:pos="720"/>
        </w:tabs>
        <w:ind w:left="720" w:hanging="360"/>
      </w:pPr>
      <w:rPr>
        <w:rFonts w:ascii="Symbol" w:hAnsi="Symbol" w:hint="default"/>
        <w:sz w:val="20"/>
      </w:rPr>
    </w:lvl>
    <w:lvl w:ilvl="1" w:tplc="8EE0955E" w:tentative="1">
      <w:start w:val="1"/>
      <w:numFmt w:val="bullet"/>
      <w:lvlText w:val="o"/>
      <w:lvlJc w:val="left"/>
      <w:pPr>
        <w:tabs>
          <w:tab w:val="num" w:pos="1440"/>
        </w:tabs>
        <w:ind w:left="1440" w:hanging="360"/>
      </w:pPr>
      <w:rPr>
        <w:rFonts w:ascii="Courier New" w:hAnsi="Courier New" w:hint="default"/>
        <w:sz w:val="20"/>
      </w:rPr>
    </w:lvl>
    <w:lvl w:ilvl="2" w:tplc="D370FF6E" w:tentative="1">
      <w:start w:val="1"/>
      <w:numFmt w:val="bullet"/>
      <w:lvlText w:val=""/>
      <w:lvlJc w:val="left"/>
      <w:pPr>
        <w:tabs>
          <w:tab w:val="num" w:pos="2160"/>
        </w:tabs>
        <w:ind w:left="2160" w:hanging="360"/>
      </w:pPr>
      <w:rPr>
        <w:rFonts w:ascii="Wingdings" w:hAnsi="Wingdings" w:hint="default"/>
        <w:sz w:val="20"/>
      </w:rPr>
    </w:lvl>
    <w:lvl w:ilvl="3" w:tplc="BAE6BC72" w:tentative="1">
      <w:start w:val="1"/>
      <w:numFmt w:val="bullet"/>
      <w:lvlText w:val=""/>
      <w:lvlJc w:val="left"/>
      <w:pPr>
        <w:tabs>
          <w:tab w:val="num" w:pos="2880"/>
        </w:tabs>
        <w:ind w:left="2880" w:hanging="360"/>
      </w:pPr>
      <w:rPr>
        <w:rFonts w:ascii="Wingdings" w:hAnsi="Wingdings" w:hint="default"/>
        <w:sz w:val="20"/>
      </w:rPr>
    </w:lvl>
    <w:lvl w:ilvl="4" w:tplc="E0EC7184" w:tentative="1">
      <w:start w:val="1"/>
      <w:numFmt w:val="bullet"/>
      <w:lvlText w:val=""/>
      <w:lvlJc w:val="left"/>
      <w:pPr>
        <w:tabs>
          <w:tab w:val="num" w:pos="3600"/>
        </w:tabs>
        <w:ind w:left="3600" w:hanging="360"/>
      </w:pPr>
      <w:rPr>
        <w:rFonts w:ascii="Wingdings" w:hAnsi="Wingdings" w:hint="default"/>
        <w:sz w:val="20"/>
      </w:rPr>
    </w:lvl>
    <w:lvl w:ilvl="5" w:tplc="5498B10C" w:tentative="1">
      <w:start w:val="1"/>
      <w:numFmt w:val="bullet"/>
      <w:lvlText w:val=""/>
      <w:lvlJc w:val="left"/>
      <w:pPr>
        <w:tabs>
          <w:tab w:val="num" w:pos="4320"/>
        </w:tabs>
        <w:ind w:left="4320" w:hanging="360"/>
      </w:pPr>
      <w:rPr>
        <w:rFonts w:ascii="Wingdings" w:hAnsi="Wingdings" w:hint="default"/>
        <w:sz w:val="20"/>
      </w:rPr>
    </w:lvl>
    <w:lvl w:ilvl="6" w:tplc="9BD0E3AA" w:tentative="1">
      <w:start w:val="1"/>
      <w:numFmt w:val="bullet"/>
      <w:lvlText w:val=""/>
      <w:lvlJc w:val="left"/>
      <w:pPr>
        <w:tabs>
          <w:tab w:val="num" w:pos="5040"/>
        </w:tabs>
        <w:ind w:left="5040" w:hanging="360"/>
      </w:pPr>
      <w:rPr>
        <w:rFonts w:ascii="Wingdings" w:hAnsi="Wingdings" w:hint="default"/>
        <w:sz w:val="20"/>
      </w:rPr>
    </w:lvl>
    <w:lvl w:ilvl="7" w:tplc="8B9C497A" w:tentative="1">
      <w:start w:val="1"/>
      <w:numFmt w:val="bullet"/>
      <w:lvlText w:val=""/>
      <w:lvlJc w:val="left"/>
      <w:pPr>
        <w:tabs>
          <w:tab w:val="num" w:pos="5760"/>
        </w:tabs>
        <w:ind w:left="5760" w:hanging="360"/>
      </w:pPr>
      <w:rPr>
        <w:rFonts w:ascii="Wingdings" w:hAnsi="Wingdings" w:hint="default"/>
        <w:sz w:val="20"/>
      </w:rPr>
    </w:lvl>
    <w:lvl w:ilvl="8" w:tplc="3E106778" w:tentative="1">
      <w:start w:val="1"/>
      <w:numFmt w:val="bullet"/>
      <w:lvlText w:val=""/>
      <w:lvlJc w:val="left"/>
      <w:pPr>
        <w:tabs>
          <w:tab w:val="num" w:pos="6480"/>
        </w:tabs>
        <w:ind w:left="6480" w:hanging="360"/>
      </w:pPr>
      <w:rPr>
        <w:rFonts w:ascii="Wingdings" w:hAnsi="Wingdings" w:hint="default"/>
        <w:sz w:val="20"/>
      </w:rPr>
    </w:lvl>
  </w:abstractNum>
  <w:num w:numId="1" w16cid:durableId="1654680987">
    <w:abstractNumId w:val="17"/>
  </w:num>
  <w:num w:numId="2" w16cid:durableId="637615691">
    <w:abstractNumId w:val="6"/>
  </w:num>
  <w:num w:numId="3" w16cid:durableId="432014804">
    <w:abstractNumId w:val="1"/>
  </w:num>
  <w:num w:numId="4" w16cid:durableId="484515648">
    <w:abstractNumId w:val="8"/>
  </w:num>
  <w:num w:numId="5" w16cid:durableId="1572891270">
    <w:abstractNumId w:val="0"/>
  </w:num>
  <w:num w:numId="6" w16cid:durableId="1603873318">
    <w:abstractNumId w:val="5"/>
  </w:num>
  <w:num w:numId="7" w16cid:durableId="1904440992">
    <w:abstractNumId w:val="10"/>
  </w:num>
  <w:num w:numId="8" w16cid:durableId="96994095">
    <w:abstractNumId w:val="2"/>
  </w:num>
  <w:num w:numId="9" w16cid:durableId="1892309006">
    <w:abstractNumId w:val="4"/>
  </w:num>
  <w:num w:numId="10" w16cid:durableId="816994409">
    <w:abstractNumId w:val="15"/>
  </w:num>
  <w:num w:numId="11" w16cid:durableId="278807083">
    <w:abstractNumId w:val="4"/>
    <w:lvlOverride w:ilvl="0">
      <w:startOverride w:val="1"/>
    </w:lvlOverride>
  </w:num>
  <w:num w:numId="12" w16cid:durableId="418524264">
    <w:abstractNumId w:val="4"/>
    <w:lvlOverride w:ilvl="0">
      <w:startOverride w:val="1"/>
    </w:lvlOverride>
  </w:num>
  <w:num w:numId="13" w16cid:durableId="1432235137">
    <w:abstractNumId w:val="9"/>
  </w:num>
  <w:num w:numId="14" w16cid:durableId="1558199068">
    <w:abstractNumId w:val="4"/>
    <w:lvlOverride w:ilvl="0">
      <w:startOverride w:val="1"/>
    </w:lvlOverride>
  </w:num>
  <w:num w:numId="15" w16cid:durableId="646860389">
    <w:abstractNumId w:val="4"/>
    <w:lvlOverride w:ilvl="0">
      <w:startOverride w:val="1"/>
    </w:lvlOverride>
  </w:num>
  <w:num w:numId="16" w16cid:durableId="244917475">
    <w:abstractNumId w:val="12"/>
  </w:num>
  <w:num w:numId="17" w16cid:durableId="324095954">
    <w:abstractNumId w:val="13"/>
  </w:num>
  <w:num w:numId="18" w16cid:durableId="856768280">
    <w:abstractNumId w:val="7"/>
  </w:num>
  <w:num w:numId="19" w16cid:durableId="18363460">
    <w:abstractNumId w:val="11"/>
  </w:num>
  <w:num w:numId="20" w16cid:durableId="2080639602">
    <w:abstractNumId w:val="16"/>
  </w:num>
  <w:num w:numId="21" w16cid:durableId="2034723201">
    <w:abstractNumId w:val="3"/>
  </w:num>
  <w:num w:numId="22" w16cid:durableId="5441458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E94"/>
    <w:rsid w:val="00003DA9"/>
    <w:rsid w:val="0000461D"/>
    <w:rsid w:val="00006269"/>
    <w:rsid w:val="0000661A"/>
    <w:rsid w:val="00007DDB"/>
    <w:rsid w:val="00010F4E"/>
    <w:rsid w:val="0001236C"/>
    <w:rsid w:val="000158F5"/>
    <w:rsid w:val="000168AF"/>
    <w:rsid w:val="00017016"/>
    <w:rsid w:val="00017B95"/>
    <w:rsid w:val="00020123"/>
    <w:rsid w:val="000216D3"/>
    <w:rsid w:val="00023C52"/>
    <w:rsid w:val="000262B4"/>
    <w:rsid w:val="000317E9"/>
    <w:rsid w:val="00034CE9"/>
    <w:rsid w:val="00037BCB"/>
    <w:rsid w:val="00041F2F"/>
    <w:rsid w:val="00043988"/>
    <w:rsid w:val="00047809"/>
    <w:rsid w:val="00052517"/>
    <w:rsid w:val="000556BB"/>
    <w:rsid w:val="000557AF"/>
    <w:rsid w:val="0005646A"/>
    <w:rsid w:val="0006306D"/>
    <w:rsid w:val="00075335"/>
    <w:rsid w:val="00075D87"/>
    <w:rsid w:val="00077214"/>
    <w:rsid w:val="00080189"/>
    <w:rsid w:val="00080C12"/>
    <w:rsid w:val="00087795"/>
    <w:rsid w:val="00091CDF"/>
    <w:rsid w:val="00091FED"/>
    <w:rsid w:val="00092CE1"/>
    <w:rsid w:val="000937B1"/>
    <w:rsid w:val="00095149"/>
    <w:rsid w:val="000A0841"/>
    <w:rsid w:val="000A21DF"/>
    <w:rsid w:val="000B007D"/>
    <w:rsid w:val="000B2E84"/>
    <w:rsid w:val="000B5F2D"/>
    <w:rsid w:val="000C087A"/>
    <w:rsid w:val="000C121E"/>
    <w:rsid w:val="000C162C"/>
    <w:rsid w:val="000C40D0"/>
    <w:rsid w:val="000C53BD"/>
    <w:rsid w:val="000C5636"/>
    <w:rsid w:val="000C7DB4"/>
    <w:rsid w:val="000D0464"/>
    <w:rsid w:val="000D0950"/>
    <w:rsid w:val="000D1DD8"/>
    <w:rsid w:val="000D2511"/>
    <w:rsid w:val="000D2FB8"/>
    <w:rsid w:val="000D6C36"/>
    <w:rsid w:val="000E50FB"/>
    <w:rsid w:val="000E5A87"/>
    <w:rsid w:val="000F36A4"/>
    <w:rsid w:val="000F72BA"/>
    <w:rsid w:val="000F72EE"/>
    <w:rsid w:val="00100E81"/>
    <w:rsid w:val="00102BF7"/>
    <w:rsid w:val="00105332"/>
    <w:rsid w:val="00113C6E"/>
    <w:rsid w:val="00120FA4"/>
    <w:rsid w:val="0012157E"/>
    <w:rsid w:val="001224F5"/>
    <w:rsid w:val="00124752"/>
    <w:rsid w:val="00124DBE"/>
    <w:rsid w:val="00124E82"/>
    <w:rsid w:val="00125238"/>
    <w:rsid w:val="001275C0"/>
    <w:rsid w:val="00127D11"/>
    <w:rsid w:val="00133A09"/>
    <w:rsid w:val="001358AD"/>
    <w:rsid w:val="0013599D"/>
    <w:rsid w:val="00140D82"/>
    <w:rsid w:val="00143031"/>
    <w:rsid w:val="001503BE"/>
    <w:rsid w:val="001559DB"/>
    <w:rsid w:val="00160A97"/>
    <w:rsid w:val="001614B3"/>
    <w:rsid w:val="00161ADC"/>
    <w:rsid w:val="00163BE0"/>
    <w:rsid w:val="00163D9B"/>
    <w:rsid w:val="00164317"/>
    <w:rsid w:val="0017014C"/>
    <w:rsid w:val="00171858"/>
    <w:rsid w:val="00171ADE"/>
    <w:rsid w:val="001730D0"/>
    <w:rsid w:val="00175C12"/>
    <w:rsid w:val="00180E73"/>
    <w:rsid w:val="00180FA0"/>
    <w:rsid w:val="0018236A"/>
    <w:rsid w:val="001827CD"/>
    <w:rsid w:val="001858D4"/>
    <w:rsid w:val="00190BDE"/>
    <w:rsid w:val="001911A8"/>
    <w:rsid w:val="00193737"/>
    <w:rsid w:val="001937A8"/>
    <w:rsid w:val="0019719E"/>
    <w:rsid w:val="001A0B33"/>
    <w:rsid w:val="001A0C89"/>
    <w:rsid w:val="001A349D"/>
    <w:rsid w:val="001A4226"/>
    <w:rsid w:val="001A4BAA"/>
    <w:rsid w:val="001A57D4"/>
    <w:rsid w:val="001B7044"/>
    <w:rsid w:val="001C5B16"/>
    <w:rsid w:val="001D0C85"/>
    <w:rsid w:val="001D636A"/>
    <w:rsid w:val="001D7DAD"/>
    <w:rsid w:val="001E0E94"/>
    <w:rsid w:val="001E1484"/>
    <w:rsid w:val="001E48B9"/>
    <w:rsid w:val="001E76A9"/>
    <w:rsid w:val="001F7B3F"/>
    <w:rsid w:val="00201BD9"/>
    <w:rsid w:val="0020498A"/>
    <w:rsid w:val="00204B68"/>
    <w:rsid w:val="00205726"/>
    <w:rsid w:val="00207123"/>
    <w:rsid w:val="002125D6"/>
    <w:rsid w:val="00212921"/>
    <w:rsid w:val="0021603D"/>
    <w:rsid w:val="00216D4B"/>
    <w:rsid w:val="00220A08"/>
    <w:rsid w:val="002248F4"/>
    <w:rsid w:val="00225E1F"/>
    <w:rsid w:val="0023017A"/>
    <w:rsid w:val="00231909"/>
    <w:rsid w:val="0023266B"/>
    <w:rsid w:val="00241C60"/>
    <w:rsid w:val="002423B3"/>
    <w:rsid w:val="00242871"/>
    <w:rsid w:val="00245A0F"/>
    <w:rsid w:val="00250CBA"/>
    <w:rsid w:val="002526A6"/>
    <w:rsid w:val="00252720"/>
    <w:rsid w:val="00256348"/>
    <w:rsid w:val="00257088"/>
    <w:rsid w:val="00260691"/>
    <w:rsid w:val="00261611"/>
    <w:rsid w:val="002619D8"/>
    <w:rsid w:val="00264677"/>
    <w:rsid w:val="002648B8"/>
    <w:rsid w:val="00264E29"/>
    <w:rsid w:val="0027116C"/>
    <w:rsid w:val="00283698"/>
    <w:rsid w:val="00284DB3"/>
    <w:rsid w:val="0028530A"/>
    <w:rsid w:val="00287465"/>
    <w:rsid w:val="002905F7"/>
    <w:rsid w:val="00294485"/>
    <w:rsid w:val="00295262"/>
    <w:rsid w:val="002959FC"/>
    <w:rsid w:val="00295C3C"/>
    <w:rsid w:val="00295DD4"/>
    <w:rsid w:val="002A20E6"/>
    <w:rsid w:val="002A4B7B"/>
    <w:rsid w:val="002A4C1D"/>
    <w:rsid w:val="002B13B5"/>
    <w:rsid w:val="002B16EA"/>
    <w:rsid w:val="002B2489"/>
    <w:rsid w:val="002B36F5"/>
    <w:rsid w:val="002B50E6"/>
    <w:rsid w:val="002B78D4"/>
    <w:rsid w:val="002C5BF5"/>
    <w:rsid w:val="002C6FFA"/>
    <w:rsid w:val="002D1CD8"/>
    <w:rsid w:val="002D2AF6"/>
    <w:rsid w:val="002D48EE"/>
    <w:rsid w:val="002D56C1"/>
    <w:rsid w:val="002E009E"/>
    <w:rsid w:val="002E265D"/>
    <w:rsid w:val="002E298A"/>
    <w:rsid w:val="002E504E"/>
    <w:rsid w:val="002E5097"/>
    <w:rsid w:val="002F4DE3"/>
    <w:rsid w:val="002F7CC5"/>
    <w:rsid w:val="003018B4"/>
    <w:rsid w:val="003030DA"/>
    <w:rsid w:val="003069CF"/>
    <w:rsid w:val="00307D45"/>
    <w:rsid w:val="00310FD4"/>
    <w:rsid w:val="0032017C"/>
    <w:rsid w:val="00321132"/>
    <w:rsid w:val="0032215E"/>
    <w:rsid w:val="00324E57"/>
    <w:rsid w:val="00331386"/>
    <w:rsid w:val="00331930"/>
    <w:rsid w:val="00331ADE"/>
    <w:rsid w:val="003366D0"/>
    <w:rsid w:val="00337386"/>
    <w:rsid w:val="00340B68"/>
    <w:rsid w:val="00340D62"/>
    <w:rsid w:val="00341E84"/>
    <w:rsid w:val="00344036"/>
    <w:rsid w:val="003472C6"/>
    <w:rsid w:val="003507DA"/>
    <w:rsid w:val="00350AC0"/>
    <w:rsid w:val="0035102F"/>
    <w:rsid w:val="0035122B"/>
    <w:rsid w:val="003517F0"/>
    <w:rsid w:val="00351948"/>
    <w:rsid w:val="00360542"/>
    <w:rsid w:val="00361456"/>
    <w:rsid w:val="0036203B"/>
    <w:rsid w:val="003636C3"/>
    <w:rsid w:val="00365D58"/>
    <w:rsid w:val="00365DBF"/>
    <w:rsid w:val="00367A6A"/>
    <w:rsid w:val="003763CD"/>
    <w:rsid w:val="00381300"/>
    <w:rsid w:val="00381ECC"/>
    <w:rsid w:val="00382854"/>
    <w:rsid w:val="003860AE"/>
    <w:rsid w:val="00387B54"/>
    <w:rsid w:val="00390F8E"/>
    <w:rsid w:val="00393073"/>
    <w:rsid w:val="0039522D"/>
    <w:rsid w:val="003A01F1"/>
    <w:rsid w:val="003A2DDB"/>
    <w:rsid w:val="003A4FFA"/>
    <w:rsid w:val="003A72A1"/>
    <w:rsid w:val="003B1BC9"/>
    <w:rsid w:val="003B4231"/>
    <w:rsid w:val="003C05E2"/>
    <w:rsid w:val="003C094B"/>
    <w:rsid w:val="003C5295"/>
    <w:rsid w:val="003D1057"/>
    <w:rsid w:val="003D30A2"/>
    <w:rsid w:val="003D657C"/>
    <w:rsid w:val="003E1286"/>
    <w:rsid w:val="003E754F"/>
    <w:rsid w:val="003F5D70"/>
    <w:rsid w:val="004020F3"/>
    <w:rsid w:val="0040294F"/>
    <w:rsid w:val="004039B8"/>
    <w:rsid w:val="0040528F"/>
    <w:rsid w:val="00405C43"/>
    <w:rsid w:val="00405E90"/>
    <w:rsid w:val="00407078"/>
    <w:rsid w:val="00411735"/>
    <w:rsid w:val="00413B3D"/>
    <w:rsid w:val="00416A84"/>
    <w:rsid w:val="00416C45"/>
    <w:rsid w:val="004225BF"/>
    <w:rsid w:val="0042290A"/>
    <w:rsid w:val="004258DD"/>
    <w:rsid w:val="004307C2"/>
    <w:rsid w:val="0043206C"/>
    <w:rsid w:val="00432134"/>
    <w:rsid w:val="00433DB1"/>
    <w:rsid w:val="00434ADB"/>
    <w:rsid w:val="00435F94"/>
    <w:rsid w:val="00436249"/>
    <w:rsid w:val="0043674D"/>
    <w:rsid w:val="004403FA"/>
    <w:rsid w:val="0044374E"/>
    <w:rsid w:val="00450EB9"/>
    <w:rsid w:val="00451D5C"/>
    <w:rsid w:val="004540B1"/>
    <w:rsid w:val="00456D4E"/>
    <w:rsid w:val="00456D86"/>
    <w:rsid w:val="0045783C"/>
    <w:rsid w:val="00460438"/>
    <w:rsid w:val="004604A2"/>
    <w:rsid w:val="00467428"/>
    <w:rsid w:val="00467BD4"/>
    <w:rsid w:val="00470966"/>
    <w:rsid w:val="0047140A"/>
    <w:rsid w:val="0047473B"/>
    <w:rsid w:val="004751A5"/>
    <w:rsid w:val="00476CE9"/>
    <w:rsid w:val="00476FB4"/>
    <w:rsid w:val="00484AF3"/>
    <w:rsid w:val="004906FE"/>
    <w:rsid w:val="004923EE"/>
    <w:rsid w:val="00492A45"/>
    <w:rsid w:val="004937A3"/>
    <w:rsid w:val="004941D1"/>
    <w:rsid w:val="0049593D"/>
    <w:rsid w:val="004A0066"/>
    <w:rsid w:val="004A201E"/>
    <w:rsid w:val="004A3665"/>
    <w:rsid w:val="004B3B3C"/>
    <w:rsid w:val="004C1C04"/>
    <w:rsid w:val="004C40D5"/>
    <w:rsid w:val="004D0AB6"/>
    <w:rsid w:val="004E06FF"/>
    <w:rsid w:val="004E6538"/>
    <w:rsid w:val="00502632"/>
    <w:rsid w:val="00502BA9"/>
    <w:rsid w:val="00507FCF"/>
    <w:rsid w:val="00514FD9"/>
    <w:rsid w:val="00516815"/>
    <w:rsid w:val="00517B3C"/>
    <w:rsid w:val="00521278"/>
    <w:rsid w:val="00521817"/>
    <w:rsid w:val="005276A7"/>
    <w:rsid w:val="00535DE4"/>
    <w:rsid w:val="00536363"/>
    <w:rsid w:val="0054607E"/>
    <w:rsid w:val="005504E1"/>
    <w:rsid w:val="005537B2"/>
    <w:rsid w:val="00553B8E"/>
    <w:rsid w:val="005554D8"/>
    <w:rsid w:val="00555DE8"/>
    <w:rsid w:val="0055602C"/>
    <w:rsid w:val="0056024B"/>
    <w:rsid w:val="005624EB"/>
    <w:rsid w:val="00564A86"/>
    <w:rsid w:val="005652F8"/>
    <w:rsid w:val="005705F6"/>
    <w:rsid w:val="00570731"/>
    <w:rsid w:val="005715EF"/>
    <w:rsid w:val="005722BC"/>
    <w:rsid w:val="005722C5"/>
    <w:rsid w:val="005725FF"/>
    <w:rsid w:val="005742F2"/>
    <w:rsid w:val="00577DDF"/>
    <w:rsid w:val="00581F3F"/>
    <w:rsid w:val="005840E4"/>
    <w:rsid w:val="00585991"/>
    <w:rsid w:val="00592266"/>
    <w:rsid w:val="00593CD1"/>
    <w:rsid w:val="00593ECE"/>
    <w:rsid w:val="00595996"/>
    <w:rsid w:val="00596376"/>
    <w:rsid w:val="00597C9C"/>
    <w:rsid w:val="005A377A"/>
    <w:rsid w:val="005B0B43"/>
    <w:rsid w:val="005B22B0"/>
    <w:rsid w:val="005B3913"/>
    <w:rsid w:val="005B3F04"/>
    <w:rsid w:val="005B5268"/>
    <w:rsid w:val="005B604B"/>
    <w:rsid w:val="005C5254"/>
    <w:rsid w:val="005C613B"/>
    <w:rsid w:val="005C6EF3"/>
    <w:rsid w:val="005D4C8F"/>
    <w:rsid w:val="005E0B52"/>
    <w:rsid w:val="005E360D"/>
    <w:rsid w:val="005F0B51"/>
    <w:rsid w:val="005F25C3"/>
    <w:rsid w:val="005F475F"/>
    <w:rsid w:val="00600CDF"/>
    <w:rsid w:val="00602A2E"/>
    <w:rsid w:val="006062ED"/>
    <w:rsid w:val="00606BAA"/>
    <w:rsid w:val="00620B41"/>
    <w:rsid w:val="00621BA0"/>
    <w:rsid w:val="00623289"/>
    <w:rsid w:val="00624CF0"/>
    <w:rsid w:val="00627840"/>
    <w:rsid w:val="00631264"/>
    <w:rsid w:val="0063271F"/>
    <w:rsid w:val="00632C37"/>
    <w:rsid w:val="00633720"/>
    <w:rsid w:val="006351A9"/>
    <w:rsid w:val="0063544E"/>
    <w:rsid w:val="006428EB"/>
    <w:rsid w:val="006514FD"/>
    <w:rsid w:val="00653BBB"/>
    <w:rsid w:val="00656C2F"/>
    <w:rsid w:val="006579E7"/>
    <w:rsid w:val="00660EF7"/>
    <w:rsid w:val="00663266"/>
    <w:rsid w:val="00664EBF"/>
    <w:rsid w:val="00671B4F"/>
    <w:rsid w:val="006739C7"/>
    <w:rsid w:val="00677D18"/>
    <w:rsid w:val="0068187C"/>
    <w:rsid w:val="006853F6"/>
    <w:rsid w:val="0068583C"/>
    <w:rsid w:val="006903CD"/>
    <w:rsid w:val="00690F92"/>
    <w:rsid w:val="006912C0"/>
    <w:rsid w:val="006920BB"/>
    <w:rsid w:val="0069743E"/>
    <w:rsid w:val="006A170D"/>
    <w:rsid w:val="006A22C7"/>
    <w:rsid w:val="006A3A9D"/>
    <w:rsid w:val="006A4679"/>
    <w:rsid w:val="006A497C"/>
    <w:rsid w:val="006A4C48"/>
    <w:rsid w:val="006A5DFA"/>
    <w:rsid w:val="006A6E4B"/>
    <w:rsid w:val="006B06F2"/>
    <w:rsid w:val="006B3D44"/>
    <w:rsid w:val="006B444D"/>
    <w:rsid w:val="006B45EA"/>
    <w:rsid w:val="006B5A93"/>
    <w:rsid w:val="006C031C"/>
    <w:rsid w:val="006C0E55"/>
    <w:rsid w:val="006C220D"/>
    <w:rsid w:val="006C2E2F"/>
    <w:rsid w:val="006C5594"/>
    <w:rsid w:val="006C755A"/>
    <w:rsid w:val="006D009D"/>
    <w:rsid w:val="006D04FB"/>
    <w:rsid w:val="006D16AF"/>
    <w:rsid w:val="006D2CC5"/>
    <w:rsid w:val="006D49EB"/>
    <w:rsid w:val="006D4F9A"/>
    <w:rsid w:val="006D547B"/>
    <w:rsid w:val="006D7690"/>
    <w:rsid w:val="006E0B8D"/>
    <w:rsid w:val="006E6A65"/>
    <w:rsid w:val="006F29FA"/>
    <w:rsid w:val="006F77DE"/>
    <w:rsid w:val="007015A0"/>
    <w:rsid w:val="00704998"/>
    <w:rsid w:val="0070525B"/>
    <w:rsid w:val="007059EF"/>
    <w:rsid w:val="00706C47"/>
    <w:rsid w:val="00707783"/>
    <w:rsid w:val="007079A0"/>
    <w:rsid w:val="00711147"/>
    <w:rsid w:val="007117D3"/>
    <w:rsid w:val="00712CE3"/>
    <w:rsid w:val="00713FAF"/>
    <w:rsid w:val="007140B2"/>
    <w:rsid w:val="00716255"/>
    <w:rsid w:val="00721653"/>
    <w:rsid w:val="007235C1"/>
    <w:rsid w:val="0072471F"/>
    <w:rsid w:val="00724FCF"/>
    <w:rsid w:val="00725747"/>
    <w:rsid w:val="00726B79"/>
    <w:rsid w:val="00731D1C"/>
    <w:rsid w:val="00731E20"/>
    <w:rsid w:val="00737314"/>
    <w:rsid w:val="00737793"/>
    <w:rsid w:val="00742092"/>
    <w:rsid w:val="00742175"/>
    <w:rsid w:val="00742D6B"/>
    <w:rsid w:val="0074580C"/>
    <w:rsid w:val="00745A04"/>
    <w:rsid w:val="00745A7A"/>
    <w:rsid w:val="00746D21"/>
    <w:rsid w:val="00747766"/>
    <w:rsid w:val="0075294B"/>
    <w:rsid w:val="007532DB"/>
    <w:rsid w:val="00762E79"/>
    <w:rsid w:val="00765D90"/>
    <w:rsid w:val="0077078E"/>
    <w:rsid w:val="007763C7"/>
    <w:rsid w:val="007771AC"/>
    <w:rsid w:val="00786F53"/>
    <w:rsid w:val="00787401"/>
    <w:rsid w:val="00787544"/>
    <w:rsid w:val="00790A6A"/>
    <w:rsid w:val="00792A65"/>
    <w:rsid w:val="00796EFB"/>
    <w:rsid w:val="007A0CA4"/>
    <w:rsid w:val="007A0D6D"/>
    <w:rsid w:val="007A12FA"/>
    <w:rsid w:val="007B4EC5"/>
    <w:rsid w:val="007B5BA2"/>
    <w:rsid w:val="007C1B76"/>
    <w:rsid w:val="007C1BD0"/>
    <w:rsid w:val="007C75CD"/>
    <w:rsid w:val="007C7BC4"/>
    <w:rsid w:val="007C7FF0"/>
    <w:rsid w:val="007D2200"/>
    <w:rsid w:val="007D266B"/>
    <w:rsid w:val="007E0E4C"/>
    <w:rsid w:val="007E4215"/>
    <w:rsid w:val="007E584A"/>
    <w:rsid w:val="007E7749"/>
    <w:rsid w:val="007F1EE1"/>
    <w:rsid w:val="007F4FB4"/>
    <w:rsid w:val="007F57BB"/>
    <w:rsid w:val="007F6844"/>
    <w:rsid w:val="0080095A"/>
    <w:rsid w:val="00800F60"/>
    <w:rsid w:val="0080138A"/>
    <w:rsid w:val="008037B6"/>
    <w:rsid w:val="008041B2"/>
    <w:rsid w:val="008064D3"/>
    <w:rsid w:val="00811397"/>
    <w:rsid w:val="00811687"/>
    <w:rsid w:val="00814838"/>
    <w:rsid w:val="00816056"/>
    <w:rsid w:val="00816417"/>
    <w:rsid w:val="0082233E"/>
    <w:rsid w:val="00827311"/>
    <w:rsid w:val="00830E99"/>
    <w:rsid w:val="008318C0"/>
    <w:rsid w:val="0083352D"/>
    <w:rsid w:val="0084088A"/>
    <w:rsid w:val="00843B25"/>
    <w:rsid w:val="00851589"/>
    <w:rsid w:val="0085348D"/>
    <w:rsid w:val="008562F3"/>
    <w:rsid w:val="008566FA"/>
    <w:rsid w:val="00861941"/>
    <w:rsid w:val="0086267A"/>
    <w:rsid w:val="00867744"/>
    <w:rsid w:val="00870825"/>
    <w:rsid w:val="008757E5"/>
    <w:rsid w:val="008765C2"/>
    <w:rsid w:val="00877092"/>
    <w:rsid w:val="008801D6"/>
    <w:rsid w:val="00880D59"/>
    <w:rsid w:val="00882D7F"/>
    <w:rsid w:val="008838F6"/>
    <w:rsid w:val="00883959"/>
    <w:rsid w:val="00890956"/>
    <w:rsid w:val="0089377B"/>
    <w:rsid w:val="008A3ADB"/>
    <w:rsid w:val="008A78CF"/>
    <w:rsid w:val="008B472B"/>
    <w:rsid w:val="008B493E"/>
    <w:rsid w:val="008B5B14"/>
    <w:rsid w:val="008B711D"/>
    <w:rsid w:val="008C13AA"/>
    <w:rsid w:val="008D556C"/>
    <w:rsid w:val="008D6F23"/>
    <w:rsid w:val="008E0CFE"/>
    <w:rsid w:val="008E3EF2"/>
    <w:rsid w:val="008E4D37"/>
    <w:rsid w:val="008F0367"/>
    <w:rsid w:val="008F420E"/>
    <w:rsid w:val="008F7B6F"/>
    <w:rsid w:val="00903362"/>
    <w:rsid w:val="00905D81"/>
    <w:rsid w:val="00910D18"/>
    <w:rsid w:val="00914504"/>
    <w:rsid w:val="00915610"/>
    <w:rsid w:val="0091601D"/>
    <w:rsid w:val="00916A79"/>
    <w:rsid w:val="00917852"/>
    <w:rsid w:val="00922C10"/>
    <w:rsid w:val="009262BD"/>
    <w:rsid w:val="00926C17"/>
    <w:rsid w:val="00932AEF"/>
    <w:rsid w:val="00933D44"/>
    <w:rsid w:val="00937A3A"/>
    <w:rsid w:val="0094029B"/>
    <w:rsid w:val="009419E1"/>
    <w:rsid w:val="009437C5"/>
    <w:rsid w:val="00944A7E"/>
    <w:rsid w:val="009463AF"/>
    <w:rsid w:val="00951D30"/>
    <w:rsid w:val="0095323F"/>
    <w:rsid w:val="00961C0E"/>
    <w:rsid w:val="00962AE6"/>
    <w:rsid w:val="00965E9F"/>
    <w:rsid w:val="0096624A"/>
    <w:rsid w:val="00966876"/>
    <w:rsid w:val="00973E0C"/>
    <w:rsid w:val="00974B4F"/>
    <w:rsid w:val="00977BD1"/>
    <w:rsid w:val="00984854"/>
    <w:rsid w:val="00991DEC"/>
    <w:rsid w:val="00992E9A"/>
    <w:rsid w:val="0099458E"/>
    <w:rsid w:val="0099640D"/>
    <w:rsid w:val="009A0A5B"/>
    <w:rsid w:val="009A31CD"/>
    <w:rsid w:val="009A772B"/>
    <w:rsid w:val="009A7B71"/>
    <w:rsid w:val="009A7F4C"/>
    <w:rsid w:val="009B06C8"/>
    <w:rsid w:val="009B1EAC"/>
    <w:rsid w:val="009D0024"/>
    <w:rsid w:val="009D3A42"/>
    <w:rsid w:val="009D3DDE"/>
    <w:rsid w:val="009D45C5"/>
    <w:rsid w:val="009D7C28"/>
    <w:rsid w:val="009E67F1"/>
    <w:rsid w:val="009F1472"/>
    <w:rsid w:val="009F22AE"/>
    <w:rsid w:val="009F2308"/>
    <w:rsid w:val="009F293F"/>
    <w:rsid w:val="009F2C8C"/>
    <w:rsid w:val="009F329B"/>
    <w:rsid w:val="009F3DEB"/>
    <w:rsid w:val="009F4D58"/>
    <w:rsid w:val="009F7E1B"/>
    <w:rsid w:val="00A032DB"/>
    <w:rsid w:val="00A03C41"/>
    <w:rsid w:val="00A043E1"/>
    <w:rsid w:val="00A12FE3"/>
    <w:rsid w:val="00A1432E"/>
    <w:rsid w:val="00A14FF0"/>
    <w:rsid w:val="00A226EF"/>
    <w:rsid w:val="00A24E3E"/>
    <w:rsid w:val="00A25050"/>
    <w:rsid w:val="00A26265"/>
    <w:rsid w:val="00A31B39"/>
    <w:rsid w:val="00A320F9"/>
    <w:rsid w:val="00A3689D"/>
    <w:rsid w:val="00A408FA"/>
    <w:rsid w:val="00A415DE"/>
    <w:rsid w:val="00A4260B"/>
    <w:rsid w:val="00A42957"/>
    <w:rsid w:val="00A50034"/>
    <w:rsid w:val="00A538FF"/>
    <w:rsid w:val="00A54E41"/>
    <w:rsid w:val="00A5517B"/>
    <w:rsid w:val="00A561F5"/>
    <w:rsid w:val="00A605D9"/>
    <w:rsid w:val="00A61DB9"/>
    <w:rsid w:val="00A6397D"/>
    <w:rsid w:val="00A63D6B"/>
    <w:rsid w:val="00A662DE"/>
    <w:rsid w:val="00A6642B"/>
    <w:rsid w:val="00A67556"/>
    <w:rsid w:val="00A72964"/>
    <w:rsid w:val="00A729F4"/>
    <w:rsid w:val="00A80A97"/>
    <w:rsid w:val="00A92129"/>
    <w:rsid w:val="00A9393F"/>
    <w:rsid w:val="00A94963"/>
    <w:rsid w:val="00A970E8"/>
    <w:rsid w:val="00AA25B8"/>
    <w:rsid w:val="00AA71E3"/>
    <w:rsid w:val="00AA7711"/>
    <w:rsid w:val="00AB0439"/>
    <w:rsid w:val="00AB103C"/>
    <w:rsid w:val="00AB44A6"/>
    <w:rsid w:val="00AB4F42"/>
    <w:rsid w:val="00AB6372"/>
    <w:rsid w:val="00AC18CF"/>
    <w:rsid w:val="00AC7E8E"/>
    <w:rsid w:val="00AD0F32"/>
    <w:rsid w:val="00AD31C1"/>
    <w:rsid w:val="00AE0959"/>
    <w:rsid w:val="00AE2C45"/>
    <w:rsid w:val="00AE3A02"/>
    <w:rsid w:val="00AE5670"/>
    <w:rsid w:val="00AF02A6"/>
    <w:rsid w:val="00B00231"/>
    <w:rsid w:val="00B01675"/>
    <w:rsid w:val="00B02AC4"/>
    <w:rsid w:val="00B06054"/>
    <w:rsid w:val="00B1017E"/>
    <w:rsid w:val="00B111A2"/>
    <w:rsid w:val="00B14D2E"/>
    <w:rsid w:val="00B167D9"/>
    <w:rsid w:val="00B16F8A"/>
    <w:rsid w:val="00B2111C"/>
    <w:rsid w:val="00B21FA2"/>
    <w:rsid w:val="00B24365"/>
    <w:rsid w:val="00B24A16"/>
    <w:rsid w:val="00B24E73"/>
    <w:rsid w:val="00B24F88"/>
    <w:rsid w:val="00B2567E"/>
    <w:rsid w:val="00B3354A"/>
    <w:rsid w:val="00B3568C"/>
    <w:rsid w:val="00B36F96"/>
    <w:rsid w:val="00B37E7A"/>
    <w:rsid w:val="00B43029"/>
    <w:rsid w:val="00B46548"/>
    <w:rsid w:val="00B50D3E"/>
    <w:rsid w:val="00B53DE6"/>
    <w:rsid w:val="00B56D67"/>
    <w:rsid w:val="00B60A86"/>
    <w:rsid w:val="00B62E43"/>
    <w:rsid w:val="00B66CBB"/>
    <w:rsid w:val="00B66E91"/>
    <w:rsid w:val="00B76280"/>
    <w:rsid w:val="00B77F8A"/>
    <w:rsid w:val="00B80870"/>
    <w:rsid w:val="00B81D05"/>
    <w:rsid w:val="00B838F8"/>
    <w:rsid w:val="00B86EFA"/>
    <w:rsid w:val="00B9314F"/>
    <w:rsid w:val="00B953FA"/>
    <w:rsid w:val="00B9715F"/>
    <w:rsid w:val="00BA1391"/>
    <w:rsid w:val="00BA30FE"/>
    <w:rsid w:val="00BA7871"/>
    <w:rsid w:val="00BB3B12"/>
    <w:rsid w:val="00BB40EC"/>
    <w:rsid w:val="00BB7108"/>
    <w:rsid w:val="00BC70A6"/>
    <w:rsid w:val="00BD10DF"/>
    <w:rsid w:val="00BE1083"/>
    <w:rsid w:val="00BE4A39"/>
    <w:rsid w:val="00BE5BFB"/>
    <w:rsid w:val="00BE61B8"/>
    <w:rsid w:val="00BF397A"/>
    <w:rsid w:val="00BF493A"/>
    <w:rsid w:val="00BF5422"/>
    <w:rsid w:val="00BF5BAB"/>
    <w:rsid w:val="00C00508"/>
    <w:rsid w:val="00C01F64"/>
    <w:rsid w:val="00C049E6"/>
    <w:rsid w:val="00C04D4B"/>
    <w:rsid w:val="00C052F5"/>
    <w:rsid w:val="00C05E4F"/>
    <w:rsid w:val="00C12F7D"/>
    <w:rsid w:val="00C143CE"/>
    <w:rsid w:val="00C15C54"/>
    <w:rsid w:val="00C168DA"/>
    <w:rsid w:val="00C25680"/>
    <w:rsid w:val="00C30994"/>
    <w:rsid w:val="00C31F73"/>
    <w:rsid w:val="00C33774"/>
    <w:rsid w:val="00C341A0"/>
    <w:rsid w:val="00C4031D"/>
    <w:rsid w:val="00C4380A"/>
    <w:rsid w:val="00C4678E"/>
    <w:rsid w:val="00C515CA"/>
    <w:rsid w:val="00C51E05"/>
    <w:rsid w:val="00C529C7"/>
    <w:rsid w:val="00C556E1"/>
    <w:rsid w:val="00C56969"/>
    <w:rsid w:val="00C65AF9"/>
    <w:rsid w:val="00C6759C"/>
    <w:rsid w:val="00C706D3"/>
    <w:rsid w:val="00C7239B"/>
    <w:rsid w:val="00C7261F"/>
    <w:rsid w:val="00C72650"/>
    <w:rsid w:val="00C7384A"/>
    <w:rsid w:val="00C75F17"/>
    <w:rsid w:val="00C77307"/>
    <w:rsid w:val="00C81BA4"/>
    <w:rsid w:val="00C82F2D"/>
    <w:rsid w:val="00C83F53"/>
    <w:rsid w:val="00C91ABE"/>
    <w:rsid w:val="00C92429"/>
    <w:rsid w:val="00C92BF3"/>
    <w:rsid w:val="00CA0061"/>
    <w:rsid w:val="00CA023E"/>
    <w:rsid w:val="00CA1E82"/>
    <w:rsid w:val="00CA2360"/>
    <w:rsid w:val="00CA6CE8"/>
    <w:rsid w:val="00CB6F08"/>
    <w:rsid w:val="00CC35A1"/>
    <w:rsid w:val="00CC40A1"/>
    <w:rsid w:val="00CC4553"/>
    <w:rsid w:val="00CC5A26"/>
    <w:rsid w:val="00CC744E"/>
    <w:rsid w:val="00CD0FE9"/>
    <w:rsid w:val="00CD6E33"/>
    <w:rsid w:val="00CF0E88"/>
    <w:rsid w:val="00CF2300"/>
    <w:rsid w:val="00CF34B9"/>
    <w:rsid w:val="00D00562"/>
    <w:rsid w:val="00D00DB1"/>
    <w:rsid w:val="00D043E1"/>
    <w:rsid w:val="00D0545C"/>
    <w:rsid w:val="00D065C5"/>
    <w:rsid w:val="00D07ADD"/>
    <w:rsid w:val="00D07ECE"/>
    <w:rsid w:val="00D13843"/>
    <w:rsid w:val="00D15FCE"/>
    <w:rsid w:val="00D1627E"/>
    <w:rsid w:val="00D16B69"/>
    <w:rsid w:val="00D20CBE"/>
    <w:rsid w:val="00D21458"/>
    <w:rsid w:val="00D21A63"/>
    <w:rsid w:val="00D22414"/>
    <w:rsid w:val="00D25ECB"/>
    <w:rsid w:val="00D31210"/>
    <w:rsid w:val="00D35975"/>
    <w:rsid w:val="00D373AD"/>
    <w:rsid w:val="00D37B74"/>
    <w:rsid w:val="00D4525B"/>
    <w:rsid w:val="00D47884"/>
    <w:rsid w:val="00D51DAF"/>
    <w:rsid w:val="00D5292C"/>
    <w:rsid w:val="00D53216"/>
    <w:rsid w:val="00D55FED"/>
    <w:rsid w:val="00D56608"/>
    <w:rsid w:val="00D566E5"/>
    <w:rsid w:val="00D56D0D"/>
    <w:rsid w:val="00D57BE3"/>
    <w:rsid w:val="00D607FD"/>
    <w:rsid w:val="00D61541"/>
    <w:rsid w:val="00D63DFC"/>
    <w:rsid w:val="00D723E4"/>
    <w:rsid w:val="00D73697"/>
    <w:rsid w:val="00D737F8"/>
    <w:rsid w:val="00D773A4"/>
    <w:rsid w:val="00D8126D"/>
    <w:rsid w:val="00D83AEB"/>
    <w:rsid w:val="00DA03AC"/>
    <w:rsid w:val="00DA3E14"/>
    <w:rsid w:val="00DA4D77"/>
    <w:rsid w:val="00DB03D8"/>
    <w:rsid w:val="00DB1260"/>
    <w:rsid w:val="00DB149A"/>
    <w:rsid w:val="00DB2E3E"/>
    <w:rsid w:val="00DB6059"/>
    <w:rsid w:val="00DB730C"/>
    <w:rsid w:val="00DC29A3"/>
    <w:rsid w:val="00DC3581"/>
    <w:rsid w:val="00DC6BF9"/>
    <w:rsid w:val="00DC6F81"/>
    <w:rsid w:val="00DD416A"/>
    <w:rsid w:val="00DD41E4"/>
    <w:rsid w:val="00DD51F1"/>
    <w:rsid w:val="00DD5AEE"/>
    <w:rsid w:val="00DD68E7"/>
    <w:rsid w:val="00DD6C32"/>
    <w:rsid w:val="00DE0400"/>
    <w:rsid w:val="00DE36E1"/>
    <w:rsid w:val="00DE429A"/>
    <w:rsid w:val="00DE5275"/>
    <w:rsid w:val="00DE63F0"/>
    <w:rsid w:val="00DF2DD0"/>
    <w:rsid w:val="00DF3815"/>
    <w:rsid w:val="00DF3A37"/>
    <w:rsid w:val="00DF435C"/>
    <w:rsid w:val="00DF5E18"/>
    <w:rsid w:val="00E014BE"/>
    <w:rsid w:val="00E01667"/>
    <w:rsid w:val="00E0252B"/>
    <w:rsid w:val="00E03E31"/>
    <w:rsid w:val="00E067E7"/>
    <w:rsid w:val="00E071EF"/>
    <w:rsid w:val="00E07974"/>
    <w:rsid w:val="00E13AFA"/>
    <w:rsid w:val="00E17EC3"/>
    <w:rsid w:val="00E24195"/>
    <w:rsid w:val="00E24EC7"/>
    <w:rsid w:val="00E31054"/>
    <w:rsid w:val="00E359A9"/>
    <w:rsid w:val="00E36C6E"/>
    <w:rsid w:val="00E40681"/>
    <w:rsid w:val="00E40A92"/>
    <w:rsid w:val="00E423D5"/>
    <w:rsid w:val="00E44409"/>
    <w:rsid w:val="00E455DD"/>
    <w:rsid w:val="00E45E0C"/>
    <w:rsid w:val="00E519AE"/>
    <w:rsid w:val="00E522A9"/>
    <w:rsid w:val="00E534BE"/>
    <w:rsid w:val="00E55110"/>
    <w:rsid w:val="00E62836"/>
    <w:rsid w:val="00E75B4C"/>
    <w:rsid w:val="00E77B03"/>
    <w:rsid w:val="00E81B4E"/>
    <w:rsid w:val="00E81FA6"/>
    <w:rsid w:val="00E853AA"/>
    <w:rsid w:val="00E858F5"/>
    <w:rsid w:val="00E86178"/>
    <w:rsid w:val="00E92937"/>
    <w:rsid w:val="00E92C30"/>
    <w:rsid w:val="00E95C6A"/>
    <w:rsid w:val="00E9602E"/>
    <w:rsid w:val="00EA3612"/>
    <w:rsid w:val="00EA5457"/>
    <w:rsid w:val="00EA622E"/>
    <w:rsid w:val="00EA70BB"/>
    <w:rsid w:val="00EB581B"/>
    <w:rsid w:val="00EB6222"/>
    <w:rsid w:val="00EB7147"/>
    <w:rsid w:val="00EC4432"/>
    <w:rsid w:val="00EC58A1"/>
    <w:rsid w:val="00EC61E0"/>
    <w:rsid w:val="00EC6910"/>
    <w:rsid w:val="00ED08F4"/>
    <w:rsid w:val="00ED1805"/>
    <w:rsid w:val="00ED3887"/>
    <w:rsid w:val="00EE5B73"/>
    <w:rsid w:val="00EE7883"/>
    <w:rsid w:val="00EF4094"/>
    <w:rsid w:val="00EF5447"/>
    <w:rsid w:val="00EF57E6"/>
    <w:rsid w:val="00EF6F89"/>
    <w:rsid w:val="00EF75D3"/>
    <w:rsid w:val="00EF7667"/>
    <w:rsid w:val="00F009E6"/>
    <w:rsid w:val="00F06A8E"/>
    <w:rsid w:val="00F07028"/>
    <w:rsid w:val="00F106FB"/>
    <w:rsid w:val="00F21938"/>
    <w:rsid w:val="00F2337F"/>
    <w:rsid w:val="00F24DA8"/>
    <w:rsid w:val="00F25A5F"/>
    <w:rsid w:val="00F27711"/>
    <w:rsid w:val="00F403DB"/>
    <w:rsid w:val="00F404AA"/>
    <w:rsid w:val="00F44F92"/>
    <w:rsid w:val="00F4634D"/>
    <w:rsid w:val="00F50088"/>
    <w:rsid w:val="00F5387F"/>
    <w:rsid w:val="00F563CD"/>
    <w:rsid w:val="00F61D3C"/>
    <w:rsid w:val="00F6304F"/>
    <w:rsid w:val="00F63E8B"/>
    <w:rsid w:val="00F64958"/>
    <w:rsid w:val="00F66D77"/>
    <w:rsid w:val="00F70089"/>
    <w:rsid w:val="00F70775"/>
    <w:rsid w:val="00F73001"/>
    <w:rsid w:val="00F74243"/>
    <w:rsid w:val="00F7536B"/>
    <w:rsid w:val="00F75CA0"/>
    <w:rsid w:val="00F77283"/>
    <w:rsid w:val="00F77EBE"/>
    <w:rsid w:val="00F8765B"/>
    <w:rsid w:val="00F904FF"/>
    <w:rsid w:val="00F91C70"/>
    <w:rsid w:val="00F959C9"/>
    <w:rsid w:val="00F96A6B"/>
    <w:rsid w:val="00FA0285"/>
    <w:rsid w:val="00FA0902"/>
    <w:rsid w:val="00FA0976"/>
    <w:rsid w:val="00FA2411"/>
    <w:rsid w:val="00FA4A72"/>
    <w:rsid w:val="00FA6510"/>
    <w:rsid w:val="00FA7548"/>
    <w:rsid w:val="00FB29DA"/>
    <w:rsid w:val="00FB4C68"/>
    <w:rsid w:val="00FB58D3"/>
    <w:rsid w:val="00FB784E"/>
    <w:rsid w:val="00FC251F"/>
    <w:rsid w:val="00FC4F41"/>
    <w:rsid w:val="00FD1004"/>
    <w:rsid w:val="00FD121B"/>
    <w:rsid w:val="00FD57C1"/>
    <w:rsid w:val="00FD5DE9"/>
    <w:rsid w:val="00FD71A7"/>
    <w:rsid w:val="00FE2217"/>
    <w:rsid w:val="00FE4D1F"/>
    <w:rsid w:val="00FE59E0"/>
    <w:rsid w:val="00FF05C9"/>
    <w:rsid w:val="00FF1741"/>
    <w:rsid w:val="00FF3710"/>
    <w:rsid w:val="00FF4A3F"/>
    <w:rsid w:val="00FF63B9"/>
    <w:rsid w:val="00FF6468"/>
    <w:rsid w:val="00FF6A61"/>
    <w:rsid w:val="00FF6C5E"/>
    <w:rsid w:val="00FF70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CB702"/>
  <w15:docId w15:val="{DACB0F09-52A0-4EB9-AE77-647055C4A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lsdException w:name="heading 3" w:uiPriority="9"/>
    <w:lsdException w:name="heading 4"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ACE Normal Text"/>
    <w:qFormat/>
    <w:rsid w:val="00205726"/>
    <w:pPr>
      <w:jc w:val="both"/>
    </w:pPr>
    <w:rPr>
      <w:rFonts w:ascii="Calibri" w:hAnsi="Calibri"/>
      <w:szCs w:val="24"/>
    </w:rPr>
  </w:style>
  <w:style w:type="paragraph" w:styleId="Heading1">
    <w:name w:val="heading 1"/>
    <w:aliases w:val="AACE H1"/>
    <w:basedOn w:val="Normal"/>
    <w:next w:val="Normal"/>
    <w:link w:val="Heading1Char"/>
    <w:uiPriority w:val="9"/>
    <w:qFormat/>
    <w:rsid w:val="005B0B43"/>
    <w:pPr>
      <w:keepNext/>
      <w:spacing w:before="240" w:after="240"/>
      <w:outlineLvl w:val="0"/>
    </w:pPr>
    <w:rPr>
      <w:b/>
      <w:bCs/>
    </w:rPr>
  </w:style>
  <w:style w:type="paragraph" w:styleId="Heading2">
    <w:name w:val="heading 2"/>
    <w:basedOn w:val="AACEH2"/>
    <w:next w:val="Normal"/>
    <w:rsid w:val="009A0A5B"/>
    <w:pPr>
      <w:outlineLvl w:val="1"/>
    </w:pPr>
  </w:style>
  <w:style w:type="paragraph" w:styleId="Heading3">
    <w:name w:val="heading 3"/>
    <w:basedOn w:val="AACEH3"/>
    <w:next w:val="Normal"/>
    <w:rsid w:val="009A0A5B"/>
    <w:pPr>
      <w:outlineLvl w:val="2"/>
    </w:pPr>
  </w:style>
  <w:style w:type="paragraph" w:styleId="Heading4">
    <w:name w:val="heading 4"/>
    <w:basedOn w:val="Normal"/>
    <w:next w:val="Normal"/>
    <w:rsid w:val="00EB6222"/>
    <w:pPr>
      <w:keepNext/>
      <w:jc w:val="center"/>
      <w:outlineLvl w:val="3"/>
    </w:pPr>
    <w:rPr>
      <w:rFonts w:ascii="Arial" w:hAnsi="Arial" w:cs="Arial"/>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CENumSubList">
    <w:name w:val="AACE Num Sub List"/>
    <w:basedOn w:val="AACENumList"/>
    <w:link w:val="AACENumSubListChar"/>
    <w:qFormat/>
    <w:rsid w:val="001A0C89"/>
    <w:pPr>
      <w:numPr>
        <w:numId w:val="13"/>
      </w:numPr>
      <w:ind w:left="1080"/>
    </w:pPr>
  </w:style>
  <w:style w:type="character" w:customStyle="1" w:styleId="AACENumSubListChar">
    <w:name w:val="AACE Num Sub List Char"/>
    <w:basedOn w:val="AACENumListChar"/>
    <w:link w:val="AACENumSubList"/>
    <w:rsid w:val="001A0C89"/>
    <w:rPr>
      <w:rFonts w:ascii="Calibri" w:hAnsi="Calibri"/>
      <w:sz w:val="24"/>
      <w:szCs w:val="24"/>
    </w:rPr>
  </w:style>
  <w:style w:type="paragraph" w:styleId="Title">
    <w:name w:val="Title"/>
    <w:aliases w:val="AACE Title"/>
    <w:basedOn w:val="Normal"/>
    <w:link w:val="TitleChar"/>
    <w:qFormat/>
    <w:rsid w:val="005B0B43"/>
    <w:pPr>
      <w:autoSpaceDE w:val="0"/>
      <w:autoSpaceDN w:val="0"/>
      <w:adjustRightInd w:val="0"/>
      <w:spacing w:after="480"/>
      <w:jc w:val="center"/>
    </w:pPr>
    <w:rPr>
      <w:b/>
      <w:bCs/>
      <w:noProof/>
      <w:color w:val="000000"/>
      <w:sz w:val="48"/>
      <w:szCs w:val="48"/>
    </w:rPr>
  </w:style>
  <w:style w:type="paragraph" w:styleId="BalloonText">
    <w:name w:val="Balloon Text"/>
    <w:basedOn w:val="Normal"/>
    <w:semiHidden/>
    <w:rsid w:val="00207123"/>
    <w:rPr>
      <w:rFonts w:ascii="Tahoma" w:hAnsi="Tahoma" w:cs="Tahoma"/>
      <w:sz w:val="16"/>
      <w:szCs w:val="16"/>
    </w:rPr>
  </w:style>
  <w:style w:type="paragraph" w:customStyle="1" w:styleId="AACECaption">
    <w:name w:val="AACE Caption"/>
    <w:next w:val="Normal"/>
    <w:link w:val="AACECaptionChar"/>
    <w:qFormat/>
    <w:rsid w:val="00205726"/>
    <w:pPr>
      <w:spacing w:after="240"/>
    </w:pPr>
    <w:rPr>
      <w:rFonts w:ascii="Calibri" w:hAnsi="Calibri"/>
      <w:b/>
      <w:szCs w:val="24"/>
    </w:rPr>
  </w:style>
  <w:style w:type="paragraph" w:customStyle="1" w:styleId="AACEH2">
    <w:name w:val="AACE H2"/>
    <w:basedOn w:val="Normal"/>
    <w:qFormat/>
    <w:rsid w:val="005B0B43"/>
    <w:pPr>
      <w:spacing w:before="240" w:after="240"/>
    </w:pPr>
    <w:rPr>
      <w:i/>
    </w:rPr>
  </w:style>
  <w:style w:type="character" w:customStyle="1" w:styleId="AACECaptionChar">
    <w:name w:val="AACE Caption Char"/>
    <w:basedOn w:val="DefaultParagraphFont"/>
    <w:link w:val="AACECaption"/>
    <w:rsid w:val="00205726"/>
    <w:rPr>
      <w:rFonts w:ascii="Calibri" w:hAnsi="Calibri"/>
      <w:b/>
      <w:szCs w:val="24"/>
    </w:rPr>
  </w:style>
  <w:style w:type="paragraph" w:customStyle="1" w:styleId="AACEH3">
    <w:name w:val="AACE H3"/>
    <w:basedOn w:val="AACEH2"/>
    <w:qFormat/>
    <w:rsid w:val="00A54E41"/>
    <w:rPr>
      <w:i w:val="0"/>
      <w:u w:val="single"/>
    </w:rPr>
  </w:style>
  <w:style w:type="table" w:styleId="TableGrid">
    <w:name w:val="Table Grid"/>
    <w:basedOn w:val="TableNormal"/>
    <w:uiPriority w:val="59"/>
    <w:rsid w:val="00F500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7261F"/>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C7261F"/>
    <w:pPr>
      <w:spacing w:after="100"/>
    </w:pPr>
  </w:style>
  <w:style w:type="paragraph" w:styleId="TOC2">
    <w:name w:val="toc 2"/>
    <w:basedOn w:val="Normal"/>
    <w:next w:val="Normal"/>
    <w:autoRedefine/>
    <w:uiPriority w:val="39"/>
    <w:unhideWhenUsed/>
    <w:qFormat/>
    <w:rsid w:val="00161ADC"/>
    <w:pPr>
      <w:spacing w:after="100"/>
      <w:ind w:left="240"/>
    </w:pPr>
  </w:style>
  <w:style w:type="paragraph" w:customStyle="1" w:styleId="AACEAuthors">
    <w:name w:val="AACE Authors"/>
    <w:qFormat/>
    <w:rsid w:val="005B0B43"/>
    <w:pPr>
      <w:spacing w:after="400"/>
      <w:jc w:val="center"/>
    </w:pPr>
    <w:rPr>
      <w:rFonts w:ascii="Calibri" w:hAnsi="Calibri"/>
      <w:b/>
      <w:bCs/>
      <w:noProof/>
      <w:color w:val="000000"/>
      <w:sz w:val="40"/>
      <w:szCs w:val="40"/>
    </w:rPr>
  </w:style>
  <w:style w:type="paragraph" w:customStyle="1" w:styleId="AACENumList">
    <w:name w:val="AACE Num List"/>
    <w:basedOn w:val="Normal"/>
    <w:link w:val="AACENumListChar"/>
    <w:qFormat/>
    <w:rsid w:val="00A54E41"/>
    <w:pPr>
      <w:numPr>
        <w:numId w:val="9"/>
      </w:numPr>
      <w:spacing w:after="240"/>
      <w:ind w:left="720"/>
      <w:contextualSpacing/>
    </w:pPr>
  </w:style>
  <w:style w:type="paragraph" w:customStyle="1" w:styleId="AACEBullets">
    <w:name w:val="AACE Bullets"/>
    <w:basedOn w:val="Normal"/>
    <w:link w:val="AACEBulletsChar"/>
    <w:qFormat/>
    <w:rsid w:val="005C6EF3"/>
    <w:pPr>
      <w:numPr>
        <w:numId w:val="10"/>
      </w:numPr>
      <w:contextualSpacing/>
    </w:pPr>
  </w:style>
  <w:style w:type="character" w:customStyle="1" w:styleId="AACENumListChar">
    <w:name w:val="AACE Num List Char"/>
    <w:basedOn w:val="DefaultParagraphFont"/>
    <w:link w:val="AACENumList"/>
    <w:rsid w:val="00A54E41"/>
    <w:rPr>
      <w:rFonts w:ascii="Calibri" w:hAnsi="Calibri"/>
      <w:sz w:val="24"/>
      <w:szCs w:val="24"/>
    </w:rPr>
  </w:style>
  <w:style w:type="character" w:customStyle="1" w:styleId="TitleChar">
    <w:name w:val="Title Char"/>
    <w:aliases w:val="AACE Title Char"/>
    <w:basedOn w:val="DefaultParagraphFont"/>
    <w:link w:val="Title"/>
    <w:rsid w:val="005B0B43"/>
    <w:rPr>
      <w:rFonts w:ascii="Calibri" w:hAnsi="Calibri"/>
      <w:b/>
      <w:bCs/>
      <w:noProof/>
      <w:color w:val="000000"/>
      <w:sz w:val="48"/>
      <w:szCs w:val="48"/>
    </w:rPr>
  </w:style>
  <w:style w:type="character" w:customStyle="1" w:styleId="AACEBulletsChar">
    <w:name w:val="AACE Bullets Char"/>
    <w:basedOn w:val="DefaultParagraphFont"/>
    <w:link w:val="AACEBullets"/>
    <w:rsid w:val="005C6EF3"/>
    <w:rPr>
      <w:rFonts w:ascii="Calibri" w:hAnsi="Calibri"/>
      <w:sz w:val="24"/>
      <w:szCs w:val="24"/>
    </w:rPr>
  </w:style>
  <w:style w:type="paragraph" w:styleId="TOC3">
    <w:name w:val="toc 3"/>
    <w:basedOn w:val="Normal"/>
    <w:next w:val="Normal"/>
    <w:autoRedefine/>
    <w:uiPriority w:val="39"/>
    <w:unhideWhenUsed/>
    <w:qFormat/>
    <w:rsid w:val="001A57D4"/>
    <w:pPr>
      <w:spacing w:after="100"/>
      <w:ind w:left="446"/>
      <w:jc w:val="left"/>
    </w:pPr>
    <w:rPr>
      <w:rFonts w:asciiTheme="minorHAnsi" w:eastAsiaTheme="minorEastAsia" w:hAnsiTheme="minorHAnsi" w:cstheme="minorBidi"/>
      <w:szCs w:val="22"/>
      <w:lang w:eastAsia="ja-JP"/>
    </w:rPr>
  </w:style>
  <w:style w:type="paragraph" w:styleId="Header">
    <w:name w:val="header"/>
    <w:basedOn w:val="Normal"/>
    <w:link w:val="HeaderChar"/>
    <w:uiPriority w:val="99"/>
    <w:unhideWhenUsed/>
    <w:rsid w:val="00F25A5F"/>
    <w:pPr>
      <w:tabs>
        <w:tab w:val="center" w:pos="4680"/>
        <w:tab w:val="right" w:pos="9360"/>
      </w:tabs>
    </w:pPr>
  </w:style>
  <w:style w:type="character" w:customStyle="1" w:styleId="HeaderChar">
    <w:name w:val="Header Char"/>
    <w:basedOn w:val="DefaultParagraphFont"/>
    <w:link w:val="Header"/>
    <w:uiPriority w:val="99"/>
    <w:rsid w:val="00F25A5F"/>
    <w:rPr>
      <w:rFonts w:ascii="Calibri" w:hAnsi="Calibri"/>
      <w:sz w:val="24"/>
      <w:szCs w:val="24"/>
    </w:rPr>
  </w:style>
  <w:style w:type="paragraph" w:styleId="Footer">
    <w:name w:val="footer"/>
    <w:basedOn w:val="Normal"/>
    <w:link w:val="FooterChar"/>
    <w:uiPriority w:val="99"/>
    <w:unhideWhenUsed/>
    <w:rsid w:val="00F25A5F"/>
    <w:pPr>
      <w:tabs>
        <w:tab w:val="center" w:pos="4680"/>
        <w:tab w:val="right" w:pos="9360"/>
      </w:tabs>
    </w:pPr>
  </w:style>
  <w:style w:type="character" w:customStyle="1" w:styleId="FooterChar">
    <w:name w:val="Footer Char"/>
    <w:basedOn w:val="DefaultParagraphFont"/>
    <w:link w:val="Footer"/>
    <w:uiPriority w:val="99"/>
    <w:rsid w:val="00F25A5F"/>
    <w:rPr>
      <w:rFonts w:ascii="Calibri" w:hAnsi="Calibri"/>
      <w:sz w:val="24"/>
      <w:szCs w:val="24"/>
    </w:rPr>
  </w:style>
  <w:style w:type="character" w:customStyle="1" w:styleId="Heading1Char">
    <w:name w:val="Heading 1 Char"/>
    <w:aliases w:val="AACE H1 Char"/>
    <w:basedOn w:val="DefaultParagraphFont"/>
    <w:link w:val="Heading1"/>
    <w:uiPriority w:val="9"/>
    <w:rsid w:val="00F25A5F"/>
    <w:rPr>
      <w:rFonts w:ascii="Calibri" w:hAnsi="Calibri"/>
      <w:b/>
      <w:bCs/>
      <w:sz w:val="24"/>
      <w:szCs w:val="24"/>
    </w:rPr>
  </w:style>
  <w:style w:type="paragraph" w:styleId="Bibliography">
    <w:name w:val="Bibliography"/>
    <w:basedOn w:val="Normal"/>
    <w:next w:val="Normal"/>
    <w:uiPriority w:val="37"/>
    <w:unhideWhenUsed/>
    <w:rsid w:val="00F25A5F"/>
  </w:style>
  <w:style w:type="paragraph" w:styleId="FootnoteText">
    <w:name w:val="footnote text"/>
    <w:basedOn w:val="Normal"/>
    <w:link w:val="FootnoteTextChar"/>
    <w:uiPriority w:val="99"/>
    <w:semiHidden/>
    <w:unhideWhenUsed/>
    <w:rsid w:val="004604A2"/>
    <w:rPr>
      <w:szCs w:val="20"/>
    </w:rPr>
  </w:style>
  <w:style w:type="character" w:customStyle="1" w:styleId="FootnoteTextChar">
    <w:name w:val="Footnote Text Char"/>
    <w:basedOn w:val="DefaultParagraphFont"/>
    <w:link w:val="FootnoteText"/>
    <w:uiPriority w:val="99"/>
    <w:semiHidden/>
    <w:rsid w:val="004604A2"/>
    <w:rPr>
      <w:rFonts w:ascii="Calibri" w:hAnsi="Calibri"/>
    </w:rPr>
  </w:style>
  <w:style w:type="character" w:styleId="FootnoteReference">
    <w:name w:val="footnote reference"/>
    <w:basedOn w:val="DefaultParagraphFont"/>
    <w:uiPriority w:val="99"/>
    <w:semiHidden/>
    <w:unhideWhenUsed/>
    <w:rsid w:val="004604A2"/>
    <w:rPr>
      <w:vertAlign w:val="superscript"/>
    </w:rPr>
  </w:style>
  <w:style w:type="paragraph" w:customStyle="1" w:styleId="AACEFootnote">
    <w:name w:val="AACE Footnote"/>
    <w:basedOn w:val="FootnoteText"/>
    <w:link w:val="AACEFootnoteChar"/>
    <w:qFormat/>
    <w:rsid w:val="004604A2"/>
    <w:rPr>
      <w:sz w:val="16"/>
      <w:szCs w:val="16"/>
    </w:rPr>
  </w:style>
  <w:style w:type="character" w:customStyle="1" w:styleId="AACEFootnoteChar">
    <w:name w:val="AACE Footnote Char"/>
    <w:basedOn w:val="FootnoteTextChar"/>
    <w:link w:val="AACEFootnote"/>
    <w:rsid w:val="004604A2"/>
    <w:rPr>
      <w:rFonts w:ascii="Calibri" w:hAnsi="Calibri"/>
      <w:sz w:val="16"/>
      <w:szCs w:val="16"/>
    </w:rPr>
  </w:style>
  <w:style w:type="character" w:styleId="CommentReference">
    <w:name w:val="annotation reference"/>
    <w:basedOn w:val="DefaultParagraphFont"/>
    <w:uiPriority w:val="99"/>
    <w:semiHidden/>
    <w:unhideWhenUsed/>
    <w:rsid w:val="00FF708F"/>
    <w:rPr>
      <w:sz w:val="16"/>
      <w:szCs w:val="16"/>
    </w:rPr>
  </w:style>
  <w:style w:type="paragraph" w:styleId="CommentText">
    <w:name w:val="annotation text"/>
    <w:basedOn w:val="Normal"/>
    <w:link w:val="CommentTextChar"/>
    <w:uiPriority w:val="99"/>
    <w:unhideWhenUsed/>
    <w:rsid w:val="00FF708F"/>
    <w:rPr>
      <w:szCs w:val="20"/>
    </w:rPr>
  </w:style>
  <w:style w:type="character" w:customStyle="1" w:styleId="CommentTextChar">
    <w:name w:val="Comment Text Char"/>
    <w:basedOn w:val="DefaultParagraphFont"/>
    <w:link w:val="CommentText"/>
    <w:uiPriority w:val="99"/>
    <w:rsid w:val="00FF708F"/>
    <w:rPr>
      <w:rFonts w:ascii="Calibri" w:hAnsi="Calibri"/>
    </w:rPr>
  </w:style>
  <w:style w:type="paragraph" w:styleId="CommentSubject">
    <w:name w:val="annotation subject"/>
    <w:basedOn w:val="CommentText"/>
    <w:next w:val="CommentText"/>
    <w:link w:val="CommentSubjectChar"/>
    <w:uiPriority w:val="99"/>
    <w:semiHidden/>
    <w:unhideWhenUsed/>
    <w:rsid w:val="00FF708F"/>
    <w:rPr>
      <w:b/>
      <w:bCs/>
    </w:rPr>
  </w:style>
  <w:style w:type="character" w:customStyle="1" w:styleId="CommentSubjectChar">
    <w:name w:val="Comment Subject Char"/>
    <w:basedOn w:val="CommentTextChar"/>
    <w:link w:val="CommentSubject"/>
    <w:uiPriority w:val="99"/>
    <w:semiHidden/>
    <w:rsid w:val="00FF708F"/>
    <w:rPr>
      <w:rFonts w:ascii="Calibri" w:hAnsi="Calibri"/>
      <w:b/>
      <w:bCs/>
    </w:rPr>
  </w:style>
  <w:style w:type="character" w:styleId="Hyperlink">
    <w:name w:val="Hyperlink"/>
    <w:basedOn w:val="DefaultParagraphFont"/>
    <w:uiPriority w:val="99"/>
    <w:unhideWhenUsed/>
    <w:rsid w:val="0012157E"/>
    <w:rPr>
      <w:color w:val="0000FF" w:themeColor="hyperlink"/>
      <w:u w:val="single"/>
    </w:rPr>
  </w:style>
  <w:style w:type="paragraph" w:styleId="ListParagraph">
    <w:name w:val="List Paragraph"/>
    <w:basedOn w:val="Normal"/>
    <w:uiPriority w:val="34"/>
    <w:qFormat/>
    <w:rsid w:val="00903362"/>
    <w:pPr>
      <w:ind w:left="720"/>
      <w:contextualSpacing/>
    </w:pPr>
  </w:style>
  <w:style w:type="character" w:styleId="UnresolvedMention">
    <w:name w:val="Unresolved Mention"/>
    <w:basedOn w:val="DefaultParagraphFont"/>
    <w:uiPriority w:val="99"/>
    <w:semiHidden/>
    <w:unhideWhenUsed/>
    <w:rsid w:val="00786F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9959">
      <w:bodyDiv w:val="1"/>
      <w:marLeft w:val="0"/>
      <w:marRight w:val="0"/>
      <w:marTop w:val="0"/>
      <w:marBottom w:val="0"/>
      <w:divBdr>
        <w:top w:val="none" w:sz="0" w:space="0" w:color="auto"/>
        <w:left w:val="none" w:sz="0" w:space="0" w:color="auto"/>
        <w:bottom w:val="none" w:sz="0" w:space="0" w:color="auto"/>
        <w:right w:val="none" w:sz="0" w:space="0" w:color="auto"/>
      </w:divBdr>
    </w:div>
    <w:div w:id="310523076">
      <w:bodyDiv w:val="1"/>
      <w:marLeft w:val="0"/>
      <w:marRight w:val="0"/>
      <w:marTop w:val="0"/>
      <w:marBottom w:val="0"/>
      <w:divBdr>
        <w:top w:val="none" w:sz="0" w:space="0" w:color="auto"/>
        <w:left w:val="none" w:sz="0" w:space="0" w:color="auto"/>
        <w:bottom w:val="none" w:sz="0" w:space="0" w:color="auto"/>
        <w:right w:val="none" w:sz="0" w:space="0" w:color="auto"/>
      </w:divBdr>
    </w:div>
    <w:div w:id="545724721">
      <w:bodyDiv w:val="1"/>
      <w:marLeft w:val="0"/>
      <w:marRight w:val="0"/>
      <w:marTop w:val="0"/>
      <w:marBottom w:val="0"/>
      <w:divBdr>
        <w:top w:val="none" w:sz="0" w:space="0" w:color="auto"/>
        <w:left w:val="none" w:sz="0" w:space="0" w:color="auto"/>
        <w:bottom w:val="none" w:sz="0" w:space="0" w:color="auto"/>
        <w:right w:val="none" w:sz="0" w:space="0" w:color="auto"/>
      </w:divBdr>
    </w:div>
    <w:div w:id="877081909">
      <w:bodyDiv w:val="1"/>
      <w:marLeft w:val="0"/>
      <w:marRight w:val="0"/>
      <w:marTop w:val="0"/>
      <w:marBottom w:val="0"/>
      <w:divBdr>
        <w:top w:val="none" w:sz="0" w:space="0" w:color="auto"/>
        <w:left w:val="none" w:sz="0" w:space="0" w:color="auto"/>
        <w:bottom w:val="none" w:sz="0" w:space="0" w:color="auto"/>
        <w:right w:val="none" w:sz="0" w:space="0" w:color="auto"/>
      </w:divBdr>
    </w:div>
    <w:div w:id="961157777">
      <w:bodyDiv w:val="1"/>
      <w:marLeft w:val="0"/>
      <w:marRight w:val="0"/>
      <w:marTop w:val="0"/>
      <w:marBottom w:val="0"/>
      <w:divBdr>
        <w:top w:val="none" w:sz="0" w:space="0" w:color="auto"/>
        <w:left w:val="none" w:sz="0" w:space="0" w:color="auto"/>
        <w:bottom w:val="none" w:sz="0" w:space="0" w:color="auto"/>
        <w:right w:val="none" w:sz="0" w:space="0" w:color="auto"/>
      </w:divBdr>
    </w:div>
    <w:div w:id="1178154327">
      <w:bodyDiv w:val="1"/>
      <w:marLeft w:val="0"/>
      <w:marRight w:val="0"/>
      <w:marTop w:val="0"/>
      <w:marBottom w:val="0"/>
      <w:divBdr>
        <w:top w:val="none" w:sz="0" w:space="0" w:color="auto"/>
        <w:left w:val="none" w:sz="0" w:space="0" w:color="auto"/>
        <w:bottom w:val="none" w:sz="0" w:space="0" w:color="auto"/>
        <w:right w:val="none" w:sz="0" w:space="0" w:color="auto"/>
      </w:divBdr>
    </w:div>
    <w:div w:id="1207985083">
      <w:bodyDiv w:val="1"/>
      <w:marLeft w:val="0"/>
      <w:marRight w:val="0"/>
      <w:marTop w:val="0"/>
      <w:marBottom w:val="0"/>
      <w:divBdr>
        <w:top w:val="none" w:sz="0" w:space="0" w:color="auto"/>
        <w:left w:val="none" w:sz="0" w:space="0" w:color="auto"/>
        <w:bottom w:val="none" w:sz="0" w:space="0" w:color="auto"/>
        <w:right w:val="none" w:sz="0" w:space="0" w:color="auto"/>
      </w:divBdr>
    </w:div>
    <w:div w:id="1230774384">
      <w:bodyDiv w:val="1"/>
      <w:marLeft w:val="0"/>
      <w:marRight w:val="0"/>
      <w:marTop w:val="0"/>
      <w:marBottom w:val="0"/>
      <w:divBdr>
        <w:top w:val="none" w:sz="0" w:space="0" w:color="auto"/>
        <w:left w:val="none" w:sz="0" w:space="0" w:color="auto"/>
        <w:bottom w:val="none" w:sz="0" w:space="0" w:color="auto"/>
        <w:right w:val="none" w:sz="0" w:space="0" w:color="auto"/>
      </w:divBdr>
    </w:div>
    <w:div w:id="1296062445">
      <w:bodyDiv w:val="1"/>
      <w:marLeft w:val="0"/>
      <w:marRight w:val="0"/>
      <w:marTop w:val="0"/>
      <w:marBottom w:val="0"/>
      <w:divBdr>
        <w:top w:val="none" w:sz="0" w:space="0" w:color="auto"/>
        <w:left w:val="none" w:sz="0" w:space="0" w:color="auto"/>
        <w:bottom w:val="none" w:sz="0" w:space="0" w:color="auto"/>
        <w:right w:val="none" w:sz="0" w:space="0" w:color="auto"/>
      </w:divBdr>
    </w:div>
    <w:div w:id="1365130605">
      <w:bodyDiv w:val="1"/>
      <w:marLeft w:val="0"/>
      <w:marRight w:val="0"/>
      <w:marTop w:val="0"/>
      <w:marBottom w:val="0"/>
      <w:divBdr>
        <w:top w:val="none" w:sz="0" w:space="0" w:color="auto"/>
        <w:left w:val="none" w:sz="0" w:space="0" w:color="auto"/>
        <w:bottom w:val="none" w:sz="0" w:space="0" w:color="auto"/>
        <w:right w:val="none" w:sz="0" w:space="0" w:color="auto"/>
      </w:divBdr>
    </w:div>
    <w:div w:id="1478571390">
      <w:bodyDiv w:val="1"/>
      <w:marLeft w:val="0"/>
      <w:marRight w:val="0"/>
      <w:marTop w:val="0"/>
      <w:marBottom w:val="0"/>
      <w:divBdr>
        <w:top w:val="none" w:sz="0" w:space="0" w:color="auto"/>
        <w:left w:val="none" w:sz="0" w:space="0" w:color="auto"/>
        <w:bottom w:val="none" w:sz="0" w:space="0" w:color="auto"/>
        <w:right w:val="none" w:sz="0" w:space="0" w:color="auto"/>
      </w:divBdr>
    </w:div>
    <w:div w:id="1575117594">
      <w:bodyDiv w:val="1"/>
      <w:marLeft w:val="0"/>
      <w:marRight w:val="0"/>
      <w:marTop w:val="0"/>
      <w:marBottom w:val="0"/>
      <w:divBdr>
        <w:top w:val="none" w:sz="0" w:space="0" w:color="auto"/>
        <w:left w:val="none" w:sz="0" w:space="0" w:color="auto"/>
        <w:bottom w:val="none" w:sz="0" w:space="0" w:color="auto"/>
        <w:right w:val="none" w:sz="0" w:space="0" w:color="auto"/>
      </w:divBdr>
    </w:div>
    <w:div w:id="1677272733">
      <w:bodyDiv w:val="1"/>
      <w:marLeft w:val="0"/>
      <w:marRight w:val="0"/>
      <w:marTop w:val="0"/>
      <w:marBottom w:val="0"/>
      <w:divBdr>
        <w:top w:val="none" w:sz="0" w:space="0" w:color="auto"/>
        <w:left w:val="none" w:sz="0" w:space="0" w:color="auto"/>
        <w:bottom w:val="none" w:sz="0" w:space="0" w:color="auto"/>
        <w:right w:val="none" w:sz="0" w:space="0" w:color="auto"/>
      </w:divBdr>
    </w:div>
    <w:div w:id="1775244232">
      <w:bodyDiv w:val="1"/>
      <w:marLeft w:val="0"/>
      <w:marRight w:val="0"/>
      <w:marTop w:val="0"/>
      <w:marBottom w:val="0"/>
      <w:divBdr>
        <w:top w:val="none" w:sz="0" w:space="0" w:color="auto"/>
        <w:left w:val="none" w:sz="0" w:space="0" w:color="auto"/>
        <w:bottom w:val="none" w:sz="0" w:space="0" w:color="auto"/>
        <w:right w:val="none" w:sz="0" w:space="0" w:color="auto"/>
      </w:divBdr>
    </w:div>
    <w:div w:id="18083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rmstrong@civic-cm.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marzilli@civic-cm.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ller\Documents\Author%20Guidelines%20and%20Forms\2017-07-05\AACE%20International%20Conference%20&amp;%20Expo%20Technical%20Pap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537d792-ef30-4862-baed-aee9b85552e3" xsi:nil="true"/>
    <lcf76f155ced4ddcb4097134ff3c332f xmlns="79898a9c-8629-47f4-9535-6f860a13c9b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IEEE2006OfficeOnline.xsl" StyleName="IEEE" Version="2006">
  <b:Source>
    <b:Tag>TCM</b:Tag>
    <b:SourceType>Book</b:SourceType>
    <b:Guid>{47571501-DF0D-4779-8799-D43A5932B5F5}</b:Guid>
    <b:Author>
      <b:Editor>
        <b:NameList>
          <b:Person>
            <b:Last>Stephenson</b:Last>
            <b:First>H.</b:First>
            <b:Middle>Lance</b:Middle>
          </b:Person>
        </b:NameList>
      </b:Editor>
    </b:Author>
    <b:Title>Total Cost Management Framework: An Integrated Approach to Portfolio, Program and Project Management</b:Title>
    <b:Year>Latest revision</b:Year>
    <b:City>Morgantown</b:City>
    <b:Publisher>AACE International</b:Publisher>
    <b:Edition>2nd</b:Edition>
    <b:StateProvince>WV</b:StateProvince>
    <b:CountryRegion>USA</b:CountryRegion>
    <b:ShortTitle>TCM Framework</b:ShortTitle>
    <b:RefOrder>1</b:RefOrder>
  </b:Source>
  <b:Source>
    <b:Tag>PGD01</b:Tag>
    <b:SourceType>Book</b:SourceType>
    <b:Guid>{F922D4E2-C825-4485-91E8-318B030B275D}</b:Guid>
    <b:Author>
      <b:Author>
        <b:Corporate>AACE International</b:Corporate>
      </b:Author>
    </b:Author>
    <b:Title>Professional Guidance Document (PGD) 01, Guide to Cost Estimate Classification</b:Title>
    <b:Year>Latest revision</b:Year>
    <b:City>Morgantown</b:City>
    <b:Publisher>AACE International</b:Publisher>
    <b:StateProvince>WV</b:StateProvince>
    <b:CountryRegion>USA</b:CountryRegion>
    <b:RefOrder>2</b:RefOrder>
  </b:Source>
  <b:Source>
    <b:Tag>AACon1</b:Tag>
    <b:SourceType>Book</b:SourceType>
    <b:Guid>{1FAFDE81-A983-4392-B81B-A0F0EAE7B151}</b:Guid>
    <b:Author>
      <b:Author>
        <b:Corporate>AACE International</b:Corporate>
      </b:Author>
    </b:Author>
    <b:Title>Professional Guidance Document (PGD) 02, Guide to Quantitative Risk Analysis</b:Title>
    <b:Year>Latest revision</b:Year>
    <b:City>Morgantown</b:City>
    <b:Publisher>AACE International</b:Publisher>
    <b:StateProvince>WV</b:StateProvince>
    <b:CountryRegion>USA</b:CountryRegion>
    <b:RefOrder>3</b:RefOrder>
  </b:Source>
  <b:Source>
    <b:Tag>96R18</b:Tag>
    <b:SourceType>Book</b:SourceType>
    <b:Guid>{154D5AF0-E6EC-4B1E-9007-2A5574A92719}</b:Guid>
    <b:Title>Recommended Practice No. 96R-18, Cost Estimate Classification System – As Applied in Engineering, Procurement, and Construction for the Power Transmission Line Infrastructure Industries</b:Title>
    <b:Year>Latest revision</b:Year>
    <b:City>Morgantown</b:City>
    <b:Author>
      <b:Author>
        <b:Corporate>AACE International</b:Corporate>
      </b:Author>
    </b:Author>
    <b:Publisher>AACE International</b:Publisher>
    <b:StateProvince>WV</b:StateProvince>
    <b:CountryRegion>USA</b:CountryRegion>
    <b:RefOrder>4</b:RefOrder>
  </b:Source>
  <b:Source>
    <b:Tag>90R17</b:Tag>
    <b:SourceType>Book</b:SourceType>
    <b:Guid>{E1A6680C-4176-427C-8E9D-295912502CBE}</b:Guid>
    <b:Author>
      <b:Author>
        <b:Corporate>AACE International</b:Corporate>
      </b:Author>
    </b:Author>
    <b:Title>Recommended Practice No. 90R-17, Statusing the CPM Schedule - As Applied in Construction</b:Title>
    <b:Year>Latest revision</b:Year>
    <b:City>Morgantown</b:City>
    <b:Publisher>AACE International</b:Publisher>
    <b:StateProvince>WV</b:StateProvince>
    <b:CountryRegion>USA</b:CountryRegion>
    <b:StandardNumber>90R-17</b:StandardNumber>
    <b:RefOrder>5</b:RefOrder>
  </b:Source>
  <b:Source>
    <b:Tag>AAC</b:Tag>
    <b:SourceType>Book</b:SourceType>
    <b:Guid>{C8944C90-B40D-4A4E-A944-52C9EFD24BC6}</b:Guid>
    <b:Title>Recommended Practice No. 87R-14, Cost Estimate Classification System – As Applied in Engineering, Procurement, and</b:Title>
    <b:Author>
      <b:Author>
        <b:Corporate>AACE International</b:Corporate>
      </b:Author>
    </b:Author>
    <b:Year>Latest revision</b:Year>
    <b:City>Morgantown</b:City>
    <b:Publisher>AACE International</b:Publisher>
    <b:StateProvince>WV</b:StateProvince>
    <b:CountryRegion>USA</b:CountryRegion>
    <b:RefOrder>6</b:RefOrder>
  </b:Source>
  <b:Source>
    <b:Tag>84R13</b:Tag>
    <b:SourceType>Book</b:SourceType>
    <b:Guid>{89F9C970-7CC8-496F-A8D8-A40760B6FBD5}</b:Guid>
    <b:Author>
      <b:Author>
        <b:Corporate>AACE International</b:Corporate>
      </b:Author>
    </b:Author>
    <b:Title>Recommended Practice No. 84R-13, Planning and Accounting for Adverse Weather</b:Title>
    <b:Year>Latest revision</b:Year>
    <b:Publisher>AACE International</b:Publisher>
    <b:City>Morgantown</b:City>
    <b:StateProvince>WV</b:StateProvince>
    <b:CountryRegion>USA</b:CountryRegion>
    <b:StandardNumber>84R-13</b:StandardNumber>
    <b:RefOrder>7</b:RefOrder>
  </b:Source>
  <b:Source>
    <b:Tag>82R13</b:Tag>
    <b:SourceType>Book</b:SourceType>
    <b:Guid>{1D2EDBC9-98E4-4FF3-8B4D-80C33A090CD6}</b:Guid>
    <b:Title>Recommended Practice No. 82R-13, Earned Value Management (EVM) Overview and Recommended Practices Consistent with EIA-748-C</b:Title>
    <b:Year>Latest revision</b:Year>
    <b:City>Morgantown</b:City>
    <b:Publisher>AACE International</b:Publisher>
    <b:Author>
      <b:Author>
        <b:Corporate>AACE International</b:Corporate>
      </b:Author>
    </b:Author>
    <b:StateProvince>WV</b:StateProvince>
    <b:CountryRegion>USA</b:CountryRegion>
    <b:RefOrder>8</b:RefOrder>
  </b:Source>
  <b:Source>
    <b:Tag>AACon</b:Tag>
    <b:SourceType>Book</b:SourceType>
    <b:Guid>{CDA30CD4-3115-4469-8DD4-6B2AE07380AF}</b:Guid>
    <b:Author>
      <b:Author>
        <b:Corporate>AACE International</b:Corporate>
      </b:Author>
    </b:Author>
    <b:Title>Recommended Practice No. 80R-13, Estimate at Completion (EAC)</b:Title>
    <b:Year>Latest revision</b:Year>
    <b:City>Morgantown</b:City>
    <b:Publisher>AACE International</b:Publisher>
    <b:StateProvince>WV</b:StateProvince>
    <b:CountryRegion>USA</b:CountryRegion>
    <b:RefOrder>9</b:RefOrder>
  </b:Source>
  <b:Source>
    <b:Tag>72R12</b:Tag>
    <b:SourceType>Book</b:SourceType>
    <b:Guid>{3F7AEE33-D670-45E2-BD9D-02C301A24253}</b:Guid>
    <b:Author>
      <b:Author>
        <b:Corporate>AACE International</b:Corporate>
      </b:Author>
    </b:Author>
    <b:Title>Recommended Practice No. 72R-12, Developing a Project Risk Management Plan</b:Title>
    <b:Year>Latest revision</b:Year>
    <b:City>Morgantown</b:City>
    <b:Publisher>AACE International</b:Publisher>
    <b:StateProvince>WV</b:StateProvince>
    <b:CountryRegion>USA</b:CountryRegion>
    <b:RefOrder>10</b:RefOrder>
  </b:Source>
  <b:Source>
    <b:Tag>70R12</b:Tag>
    <b:SourceType>Book</b:SourceType>
    <b:Guid>{65F138BA-6C69-4225-940D-CAC832627DFA}</b:Guid>
    <b:Author>
      <b:Author>
        <b:Corporate>AACE International</b:Corporate>
      </b:Author>
    </b:Author>
    <b:Title>Recommended Practice No. 70R-12, Principles of Schedule Contingency Management - As Applied in Engineering, Procurement, and Construction</b:Title>
    <b:Year>Latest revision</b:Year>
    <b:City>Morgantown</b:City>
    <b:Publisher>AACE International</b:Publisher>
    <b:StateProvince>WV</b:StateProvince>
    <b:CountryRegion>USA</b:CountryRegion>
    <b:RefOrder>11</b:RefOrder>
  </b:Source>
  <b:Source>
    <b:Tag>68R11</b:Tag>
    <b:SourceType>Book</b:SourceType>
    <b:Guid>{F60B651D-96D4-4388-8C3E-5B812D27207E}</b:Guid>
    <b:Author>
      <b:Author>
        <b:Corporate>AACE International</b:Corporate>
      </b:Author>
    </b:Author>
    <b:Title>Recommended Practice No. 68R-11, Escalation Estimating Using Indices and Monte Carlo Simulation</b:Title>
    <b:Year>Latest revision</b:Year>
    <b:City>Morgantown</b:City>
    <b:Publisher>AACE International</b:Publisher>
    <b:StateProvince>WV</b:StateProvince>
    <b:CountryRegion>USA</b:CountryRegion>
    <b:RefOrder>12</b:RefOrder>
  </b:Source>
  <b:Source>
    <b:Tag>67R11</b:Tag>
    <b:SourceType>Book</b:SourceType>
    <b:Guid>{FD5B4CFC-9E02-4B62-8608-2D06972C8A0D}</b:Guid>
    <b:Author>
      <b:Author>
        <b:Corporate>AACE International</b:Corporate>
      </b:Author>
    </b:Author>
    <b:Title>Recommended Practice No. 67R-11, Contract Risk Allocation</b:Title>
    <b:Year>Latest revision</b:Year>
    <b:City>Morgantown</b:City>
    <b:Publisher>AACE International</b:Publisher>
    <b:StateProvince>WV</b:StateProvince>
    <b:CountryRegion>USA</b:CountryRegion>
    <b:RefOrder>13</b:RefOrder>
  </b:Source>
  <b:Source>
    <b:Tag>66R11</b:Tag>
    <b:SourceType>Book</b:SourceType>
    <b:Guid>{882FB0E1-7B66-4992-B602-DC2DC8E7707D}</b:Guid>
    <b:Author>
      <b:Author>
        <b:Corporate>AACE International</b:Corporate>
      </b:Author>
    </b:Author>
    <b:Title>Recommended Practice No. 66R-11, Selecting Probability Distribution Functions for Use in Cost and Schedule Risk Simulation Models</b:Title>
    <b:Year>Latest revision</b:Year>
    <b:City>Morgantown</b:City>
    <b:Publisher>AACE International</b:Publisher>
    <b:StateProvince>WV</b:StateProvince>
    <b:CountryRegion>USA</b:CountryRegion>
    <b:RefOrder>14</b:RefOrder>
  </b:Source>
  <b:Source>
    <b:Tag>65R11</b:Tag>
    <b:SourceType>Book</b:SourceType>
    <b:Guid>{7E325118-0E8A-4A3F-8D21-235C49F35FFE}</b:Guid>
    <b:Author>
      <b:Author>
        <b:Corporate>AACE International</b:Corporate>
      </b:Author>
    </b:Author>
    <b:Title>Recommended Practice No. 65R-11, Integrated Cost and Schedule Risk Analysis and Contingency Determination Using Expected Value</b:Title>
    <b:Year>Latest revision</b:Year>
    <b:City>Morgantown</b:City>
    <b:Publisher>AACE International</b:Publisher>
    <b:RefOrder>15</b:RefOrder>
  </b:Source>
  <b:Source>
    <b:Tag>64R11</b:Tag>
    <b:SourceType>Book</b:SourceType>
    <b:Guid>{CD59A5F4-1E51-4C6C-BD06-FF69A826463B}</b:Guid>
    <b:Author>
      <b:Author>
        <b:Corporate>AACE International</b:Corporate>
      </b:Author>
    </b:Author>
    <b:Title>Recommended Practice No. 64R-11, CPM Schedule Risk Modeling and Analysis: Special Considerations</b:Title>
    <b:Year>Latest revision</b:Year>
    <b:City>Morgantown</b:City>
    <b:Publisher>AACE International</b:Publisher>
    <b:StateProvince>WV</b:StateProvince>
    <b:CountryRegion>USA</b:CountryRegion>
    <b:RefOrder>16</b:RefOrder>
  </b:Source>
  <b:Source>
    <b:Tag>63R11</b:Tag>
    <b:SourceType>Book</b:SourceType>
    <b:Guid>{C8488DA9-1730-4A1A-A197-657B60678FE6}</b:Guid>
    <b:Author>
      <b:Author>
        <b:Corporate>AACE International</b:Corporate>
      </b:Author>
    </b:Author>
    <b:Title>Recommended Practice No. 63R-11, Risk Treatment</b:Title>
    <b:Year>Latest revision</b:Year>
    <b:City>Morgantown</b:City>
    <b:Publisher>AACE International</b:Publisher>
    <b:StateProvince>WV</b:StateProvince>
    <b:CountryRegion>USA</b:CountryRegion>
    <b:RefOrder>17</b:RefOrder>
  </b:Source>
  <b:Source>
    <b:Tag>62R11</b:Tag>
    <b:SourceType>Book</b:SourceType>
    <b:Guid>{795D1B4C-7106-46F1-8DD9-AB9719F1D9C8}</b:Guid>
    <b:Author>
      <b:Author>
        <b:Corporate>AACE International</b:Corporate>
      </b:Author>
    </b:Author>
    <b:Title>Recommended Practice No. 62R-11, Risk Assessment: Identification and Qualitative Analysis</b:Title>
    <b:Year>Latest revision</b:Year>
    <b:City>Morgantown</b:City>
    <b:Publisher>AACE International</b:Publisher>
    <b:StateProvince>WV</b:StateProvince>
    <b:CountryRegion>USA</b:CountryRegion>
    <b:RefOrder>18</b:RefOrder>
  </b:Source>
  <b:Source>
    <b:Tag>60R10</b:Tag>
    <b:SourceType>Book</b:SourceType>
    <b:Guid>{5A8C63AC-B0FF-485D-AA34-0827E5039A36}</b:Guid>
    <b:Author>
      <b:Author>
        <b:Corporate>AACE International</b:Corporate>
      </b:Author>
    </b:Author>
    <b:Title>Recommended Practice No. 60R-10, Developing the Project Controls Plan</b:Title>
    <b:Year>Latest revision</b:Year>
    <b:City>Morgantown</b:City>
    <b:Publisher>AACE International</b:Publisher>
    <b:StateProvince>WV</b:StateProvince>
    <b:CountryRegion>USA</b:CountryRegion>
    <b:RefOrder>19</b:RefOrder>
  </b:Source>
  <b:Source>
    <b:Tag>58R10</b:Tag>
    <b:SourceType>Book</b:SourceType>
    <b:Guid>{7AFAFA2C-8408-437A-8A9D-F306CD31B4DC}</b:Guid>
    <b:Author>
      <b:Author>
        <b:Corporate>AACE International</b:Corporate>
      </b:Author>
    </b:Author>
    <b:Title>Recommended Practice No. 58R-10, Escalation Estimating Principles and Methods Using Indices</b:Title>
    <b:Year>Latest revision</b:Year>
    <b:City>Morgantown</b:City>
    <b:Publisher>AACE International</b:Publisher>
    <b:StateProvince>WV</b:StateProvince>
    <b:CountryRegion>USA</b:CountryRegion>
    <b:RefOrder>20</b:RefOrder>
  </b:Source>
  <b:Source>
    <b:Tag>57R09</b:Tag>
    <b:SourceType>Book</b:SourceType>
    <b:Guid>{DB3FBFD7-AFA2-4519-A75D-9ED7AB5E0C50}</b:Guid>
    <b:Author>
      <b:Author>
        <b:Corporate>AACE International</b:Corporate>
      </b:Author>
    </b:Author>
    <b:Title>Recommended Practice No. 57R-09, Integrated Cost and Schedule Risk Analysis Using Monte Carlo Simulation of a CPM Model</b:Title>
    <b:Year>Latest revision</b:Year>
    <b:City>Morgantown</b:City>
    <b:Publisher>AACE International</b:Publisher>
    <b:StateProvince>WV</b:StateProvince>
    <b:CountryRegion>USA</b:CountryRegion>
    <b:RefOrder>21</b:RefOrder>
  </b:Source>
  <b:Source>
    <b:Tag>56R08</b:Tag>
    <b:SourceType>Book</b:SourceType>
    <b:Guid>{F3105837-014C-405B-8593-D704161750EF}</b:Guid>
    <b:Author>
      <b:Author>
        <b:Corporate>AACE International</b:Corporate>
      </b:Author>
    </b:Author>
    <b:Title>Recommended Practice No. 56R-08, Cost Estimate Classification System – As Applied in Engineering, Procurement, and Construction for the Building and General Construction Industries</b:Title>
    <b:Year>Latest revision</b:Year>
    <b:City>Morgantown</b:City>
    <b:Publisher>AACE International</b:Publisher>
    <b:StateProvince>WV</b:StateProvince>
    <b:CountryRegion>USA</b:CountryRegion>
    <b:RefOrder>22</b:RefOrder>
  </b:Source>
  <b:Source>
    <b:Tag>54R07</b:Tag>
    <b:SourceType>Book</b:SourceType>
    <b:Guid>{E1F36DE7-57AB-4FD3-B0AA-29AAB1FE15C7}</b:Guid>
    <b:Author>
      <b:Author>
        <b:Corporate>AACE International</b:Corporate>
      </b:Author>
    </b:Author>
    <b:Title>Recommended Practice No. 54R-07, Recovery Scheduling - As Applied in Engineering, Procurement, and Construction</b:Title>
    <b:Year>Latest revision</b:Year>
    <b:City>Morgantown</b:City>
    <b:Publisher>AACE International</b:Publisher>
    <b:StateProvince>WV</b:StateProvince>
    <b:CountryRegion>USA</b:CountryRegion>
    <b:RefOrder>23</b:RefOrder>
  </b:Source>
  <b:Source>
    <b:Tag>53R06</b:Tag>
    <b:SourceType>Report</b:SourceType>
    <b:Guid>{69CC701D-9356-4C5C-8499-07D082464C31}</b:Guid>
    <b:Title>Recommended Practice No. 53R-06, Schedule Update Review - As Applied in Engineering, Procurement, and Construction</b:Title>
    <b:Year>Latest revision</b:Year>
    <b:City>Morgantown</b:City>
    <b:Author>
      <b:Author>
        <b:Corporate>AACE International</b:Corporate>
      </b:Author>
    </b:Author>
    <b:Publisher>AACE International</b:Publisher>
    <b:StandardNumber>53R-06</b:StandardNumber>
    <b:RefOrder>24</b:RefOrder>
  </b:Source>
  <b:Source>
    <b:Tag>52R06</b:Tag>
    <b:SourceType>Book</b:SourceType>
    <b:Guid>{B8A325E1-8393-4294-93D6-38D3CEB4CB78}</b:Guid>
    <b:Author>
      <b:Author>
        <b:Corporate>AACE International</b:Corporate>
      </b:Author>
    </b:Author>
    <b:Title>Recommended Practice No. 52R-06, Time Impact Analysis – As Applied in Construction</b:Title>
    <b:Year>Latest revision</b:Year>
    <b:City>Morgantown</b:City>
    <b:Publisher>AACE International</b:Publisher>
    <b:StateProvince>WV</b:StateProvince>
    <b:CountryRegion>USA</b:CountryRegion>
    <b:RefOrder>25</b:RefOrder>
  </b:Source>
  <b:Source>
    <b:Tag>50R16</b:Tag>
    <b:SourceType>Book</b:SourceType>
    <b:Guid>{9A716927-321F-4A2C-A65B-4063D9A554C8}</b:Guid>
    <b:Author>
      <b:Author>
        <b:Corporate>AACE International</b:Corporate>
      </b:Author>
    </b:Author>
    <b:Title>Recommended Practice No. 50R-16, Trending and Forecasting of CPM Schedules</b:Title>
    <b:Year>Latest revision</b:Year>
    <b:City>Morgantown</b:City>
    <b:Publisher>AACE International</b:Publisher>
    <b:StateProvince>WV</b:StateProvince>
    <b:CountryRegion>USA</b:CountryRegion>
    <b:RefOrder>26</b:RefOrder>
  </b:Source>
  <b:Source>
    <b:Tag>47R11</b:Tag>
    <b:SourceType>Book</b:SourceType>
    <b:Guid>{32323150-61CF-4548-9A33-6528092433D4}</b:Guid>
    <b:Author>
      <b:Author>
        <b:Corporate>AACE International</b:Corporate>
      </b:Author>
    </b:Author>
    <b:Title>Recommended Practice No. 47R-11, Cost Estimate Classification System – As Applied in Engineering, Procurement, and Construction for the Mining and Mineral Processing Industries</b:Title>
    <b:Year>Latest revision</b:Year>
    <b:City>Morgantown, WV</b:City>
    <b:Publisher>AACE International</b:Publisher>
    <b:RefOrder>27</b:RefOrder>
  </b:Source>
  <b:Source>
    <b:Tag>46R11</b:Tag>
    <b:SourceType>Book</b:SourceType>
    <b:Guid>{BC389963-28A4-45AB-913D-172E4E0771CB}</b:Guid>
    <b:Author>
      <b:Author>
        <b:Corporate>AACE International</b:Corporate>
      </b:Author>
    </b:Author>
    <b:Title>Recommended Practice No. 46R-11, Required Skills and Knowledge of Project Cost Estimating</b:Title>
    <b:Year>Latest revision</b:Year>
    <b:City>Morgantown</b:City>
    <b:Publisher>AACE International</b:Publisher>
    <b:StateProvince>WV</b:StateProvince>
    <b:CountryRegion>USA</b:CountryRegion>
    <b:RefOrder>28</b:RefOrder>
  </b:Source>
  <b:Source>
    <b:Tag>44R08</b:Tag>
    <b:SourceType>Book</b:SourceType>
    <b:Guid>{8A5C11E3-07EC-4380-895B-80AF5B3AE2E9}</b:Guid>
    <b:Title>Recommended Practice No. 44R-08, Risk Analysis and Contingency Determination Using Expected Value</b:Title>
    <b:Year>Latest revision</b:Year>
    <b:Publisher>AACE International</b:Publisher>
    <b:City>Morgantown</b:City>
    <b:Author>
      <b:Author>
        <b:Corporate>AACE International</b:Corporate>
      </b:Author>
    </b:Author>
    <b:StateProvince>WV</b:StateProvince>
    <b:CountryRegion>USA</b:CountryRegion>
    <b:RefOrder>29</b:RefOrder>
  </b:Source>
  <b:Source>
    <b:Tag>43R08</b:Tag>
    <b:SourceType>Book</b:SourceType>
    <b:Guid>{DCDCA190-CC3A-49A3-BFD1-99B63BA2F10B}</b:Guid>
    <b:Author>
      <b:Author>
        <b:Corporate>AACE International</b:Corporate>
      </b:Author>
    </b:Author>
    <b:Title>Recommended Practice No. 43R-08, Risk Analysis and Contingency Determination Using Parametric Estimating – Example Models as Applied for the Process Industries</b:Title>
    <b:Year>Latest revision</b:Year>
    <b:City>Morgantown</b:City>
    <b:Publisher>AACE International</b:Publisher>
    <b:StateProvince>WV</b:StateProvince>
    <b:CountryRegion>USA</b:CountryRegion>
    <b:RefOrder>30</b:RefOrder>
  </b:Source>
  <b:Source>
    <b:Tag>42R08</b:Tag>
    <b:SourceType>Book</b:SourceType>
    <b:Guid>{E7929D9F-4198-45CB-BD86-A6AF37D1BC96}</b:Guid>
    <b:Title>Recommended Practice No. 42R-08, Risk Analysis and Contingency Determination Using Parametric Estimating</b:Title>
    <b:Year>Latest revision</b:Year>
    <b:City>Morgantown</b:City>
    <b:Publisher>AACE International</b:Publisher>
    <b:Author>
      <b:Author>
        <b:Corporate>AACE International</b:Corporate>
      </b:Author>
    </b:Author>
    <b:StateProvince>WV</b:StateProvince>
    <b:CountryRegion>USA</b:CountryRegion>
    <b:RefOrder>31</b:RefOrder>
  </b:Source>
  <b:Source>
    <b:Tag>41R08</b:Tag>
    <b:SourceType>Book</b:SourceType>
    <b:Guid>{D07F4DEF-6A88-4F89-A6CD-D81706C53BC0}</b:Guid>
    <b:Author>
      <b:Author>
        <b:Corporate>AACE International</b:Corporate>
      </b:Author>
    </b:Author>
    <b:Title>Recommended Practice No. 41R-08, Understanding Estimate Ranging</b:Title>
    <b:Year>Latest revision</b:Year>
    <b:City>Morgantown</b:City>
    <b:Publisher>AACE International</b:Publisher>
    <b:StateProvince>WV</b:StateProvince>
    <b:CountryRegion>USA</b:CountryRegion>
    <b:RefOrder>32</b:RefOrder>
  </b:Source>
  <b:Source>
    <b:Tag>40R08</b:Tag>
    <b:SourceType>Book</b:SourceType>
    <b:Guid>{3F853E93-77A2-48CB-A4E9-B1E693B4C0A6}</b:Guid>
    <b:Author>
      <b:Author>
        <b:Corporate>AACE International</b:Corporate>
      </b:Author>
    </b:Author>
    <b:Title>Recommended Practice No. 40R-08, Contingency Estimating – General Principles</b:Title>
    <b:Year>Latest revision</b:Year>
    <b:City>Morgantown</b:City>
    <b:Publisher>AACE International</b:Publisher>
    <b:StateProvince>WV</b:StateProvince>
    <b:CountryRegion>USA</b:CountryRegion>
    <b:RefOrder>33</b:RefOrder>
  </b:Source>
  <b:Source>
    <b:Tag>38R06</b:Tag>
    <b:SourceType>Book</b:SourceType>
    <b:Guid>{0AA331E7-C5F7-46B8-B29B-25A2F02EF765}</b:Guid>
    <b:Author>
      <b:Author>
        <b:Corporate>AACE International</b:Corporate>
      </b:Author>
    </b:Author>
    <b:Title>Recommended Practice No. 38R-06, Documenting the Schedule Basis</b:Title>
    <b:Year>Latest revision</b:Year>
    <b:City>Morgantown</b:City>
    <b:Publisher>AACE International</b:Publisher>
    <b:StateProvince>WV</b:StateProvince>
    <b:CountryRegion>USA</b:CountryRegion>
    <b:StandardNumber>38R-06</b:StandardNumber>
    <b:RefOrder>34</b:RefOrder>
  </b:Source>
  <b:Source>
    <b:Tag>36R08</b:Tag>
    <b:SourceType>Book</b:SourceType>
    <b:Guid>{CF2A7A07-6C55-422C-8D88-DDE017FC005E}</b:Guid>
    <b:Author>
      <b:Author>
        <b:Corporate>AACE International</b:Corporate>
      </b:Author>
    </b:Author>
    <b:Title>Recommended Practice No. 36R-08, Development of Cost Estimate Plans – As Applied in Engineering, Procurement, and Construction for the Process Industries</b:Title>
    <b:Year>Latest revision</b:Year>
    <b:City>Morgantown</b:City>
    <b:Publisher>AACE International</b:Publisher>
    <b:StateProvince>WV</b:StateProvince>
    <b:CountryRegion>USA</b:CountryRegion>
    <b:RefOrder>35</b:RefOrder>
  </b:Source>
  <b:Source>
    <b:Tag>35R09</b:Tag>
    <b:SourceType>Book</b:SourceType>
    <b:Guid>{3BCFB094-110C-4935-B772-A0C1F289C88E}</b:Guid>
    <b:Author>
      <b:Author>
        <b:Corporate>AACE International</b:Corporate>
      </b:Author>
    </b:Author>
    <b:Title>Recommended Practice No. 35R-09, Development of Cost Estimate Plans – As Applied for the Building and General Construction Industries</b:Title>
    <b:Year>Latest revision</b:Year>
    <b:City>Morgantown</b:City>
    <b:Publisher>AACE International</b:Publisher>
    <b:StateProvince>WV</b:StateProvince>
    <b:CountryRegion>USA</b:CountryRegion>
    <b:RefOrder>36</b:RefOrder>
  </b:Source>
  <b:Source>
    <b:Tag>34R05</b:Tag>
    <b:SourceType>Book</b:SourceType>
    <b:Guid>{C59C7ECA-9509-4D8C-A8CE-206684810092}</b:Guid>
    <b:Author>
      <b:Author>
        <b:Corporate>AACE International</b:Corporate>
      </b:Author>
    </b:Author>
    <b:Title>Recommended Practice No. 34R-05, Basis of Estimate</b:Title>
    <b:Year>Latest revision</b:Year>
    <b:City>Morgantown</b:City>
    <b:Publisher>AACE International</b:Publisher>
    <b:StateProvince>WV</b:StateProvince>
    <b:CountryRegion>USA</b:CountryRegion>
    <b:RefOrder>37</b:RefOrder>
  </b:Source>
  <b:Source>
    <b:Tag>33R15</b:Tag>
    <b:SourceType>Book</b:SourceType>
    <b:Guid>{CAB4883A-CFB9-46E1-85EB-ECCB73977E77}</b:Guid>
    <b:Author>
      <b:Author>
        <b:Corporate>AACE International</b:Corporate>
      </b:Author>
    </b:Author>
    <b:Title>Recommended Practice No. 33R-15, Developing the Project Work Breakdown Structure</b:Title>
    <b:Year>Latest revision</b:Year>
    <b:City>Morgantown</b:City>
    <b:Publisher>AACE International</b:Publisher>
    <b:StateProvince>WV</b:StateProvince>
    <b:CountryRegion>USA</b:CountryRegion>
    <b:RefOrder>38</b:RefOrder>
  </b:Source>
  <b:Source>
    <b:Tag>32R04</b:Tag>
    <b:SourceType>Book</b:SourceType>
    <b:Guid>{253CDA91-680D-4A78-8E30-0928EF72D04B}</b:Guid>
    <b:Author>
      <b:Author>
        <b:Corporate>AACE International</b:Corporate>
      </b:Author>
    </b:Author>
    <b:Title>Recommended Practice No. 32R-04, Determining Activity Durations</b:Title>
    <b:Year>Latest revision</b:Year>
    <b:City>Morgantown</b:City>
    <b:Publisher>AACE International</b:Publisher>
    <b:StateProvince>WV</b:StateProvince>
    <b:CountryRegion>USA</b:CountryRegion>
    <b:RefOrder>39</b:RefOrder>
  </b:Source>
  <b:Source>
    <b:Tag>31R03</b:Tag>
    <b:SourceType>Book</b:SourceType>
    <b:Guid>{2DE413A9-949C-40FA-81EF-DDEF86BD2379}</b:Guid>
    <b:Author>
      <b:Author>
        <b:Corporate>AACE International</b:Corporate>
      </b:Author>
    </b:Author>
    <b:Title>Recommended Practice No. 31R-03, Reviewing, Validating, and Documenting the Estimate</b:Title>
    <b:Year>Latest revision</b:Year>
    <b:City>Morgantown</b:City>
    <b:Publisher>AACE International</b:Publisher>
    <b:StateProvince>WV</b:StateProvince>
    <b:CountryRegion>USA</b:CountryRegion>
    <b:RefOrder>40</b:RefOrder>
  </b:Source>
  <b:Source>
    <b:Tag>29R03</b:Tag>
    <b:SourceType>Book</b:SourceType>
    <b:Guid>{97C53E67-CFB7-49B0-A4BD-15A2F6FAD451}</b:Guid>
    <b:Title>Recommended Practice No. 29R-03, Forensic Schedule Analysis</b:Title>
    <b:Year>Latest revision</b:Year>
    <b:City>Morgantown</b:City>
    <b:Author>
      <b:Author>
        <b:Corporate>AACE International</b:Corporate>
      </b:Author>
    </b:Author>
    <b:Publisher>AACE International</b:Publisher>
    <b:StateProvince>WV</b:StateProvince>
    <b:CountryRegion>USA</b:CountryRegion>
    <b:StandardNumber>29R-03</b:StandardNumber>
    <b:RefOrder>41</b:RefOrder>
  </b:Source>
  <b:Source>
    <b:Tag>AACon6</b:Tag>
    <b:SourceType>Book</b:SourceType>
    <b:Guid>{4F717625-7F8D-4F63-829C-C6BE6F5B1AD8}</b:Guid>
    <b:Author>
      <b:Author>
        <b:Corporate>AACE International</b:Corporate>
      </b:Author>
    </b:Author>
    <b:Title>Recommended Practice No. 28R-03, Developing Location Factors by Factoring</b:Title>
    <b:Year>Latest revision</b:Year>
    <b:City>Morgantown</b:City>
    <b:Publisher>AACE International</b:Publisher>
    <b:StateProvince>WV</b:StateProvince>
    <b:CountryRegion>USA</b:CountryRegion>
    <b:RefOrder>42</b:RefOrder>
  </b:Source>
  <b:Source>
    <b:Tag>27R03</b:Tag>
    <b:SourceType>Book</b:SourceType>
    <b:Guid>{D8E8C2F0-7B4D-4663-BF03-D38DD81797AC}</b:Guid>
    <b:Author>
      <b:Author>
        <b:Corporate>AACE International</b:Corporate>
      </b:Author>
    </b:Author>
    <b:Title>Recommended Practice No. 27R-03, Schedule CLassification System</b:Title>
    <b:Year>Latest revision</b:Year>
    <b:City>Morgantown</b:City>
    <b:Publisher>AACE International</b:Publisher>
    <b:StateProvince>WV</b:StateProvince>
    <b:CountryRegion>USA</b:CountryRegion>
    <b:RefOrder>43</b:RefOrder>
  </b:Source>
  <b:Source>
    <b:Tag>AACon8</b:Tag>
    <b:SourceType>Book</b:SourceType>
    <b:Guid>{12D36070-4559-466E-9924-DE00A0FCF081}</b:Guid>
    <b:Title>Recommended Practice No. 25R-03, Estimating Lost Labor Productivity in Construction Claims</b:Title>
    <b:Year>Latest revision</b:Year>
    <b:Author>
      <b:Author>
        <b:Corporate>AACE International</b:Corporate>
      </b:Author>
    </b:Author>
    <b:City>Morgantown, WV</b:City>
    <b:Publisher>AACE International</b:Publisher>
    <b:RefOrder>44</b:RefOrder>
  </b:Source>
  <b:Source>
    <b:Tag>21R98</b:Tag>
    <b:SourceType>Book</b:SourceType>
    <b:Guid>{F0EF910C-5B00-4A0C-B411-2B1469BCBE6A}</b:Guid>
    <b:Author>
      <b:Author>
        <b:Corporate>AACE International</b:Corporate>
      </b:Author>
    </b:Author>
    <b:Title>Recommended Practice No. 21R-98, Project Code of Accounts - As Applied in Engineering, Procurement, and Construction</b:Title>
    <b:Year>Latest revision</b:Year>
    <b:City>Morgantown, WV</b:City>
    <b:Publisher>AACE International</b:Publisher>
    <b:RefOrder>45</b:RefOrder>
  </b:Source>
  <b:Source>
    <b:Tag>20R98</b:Tag>
    <b:SourceType>Book</b:SourceType>
    <b:Guid>{DF6ED8C8-DC20-4030-A3FB-75F2D2998E06}</b:Guid>
    <b:Title>Recommended Practice No. 20R-98, Project Code of Accounts</b:Title>
    <b:Year>Latest revision</b:Year>
    <b:City>Morgantown, WV</b:City>
    <b:Author>
      <b:Author>
        <b:Corporate>AACE International</b:Corporate>
      </b:Author>
    </b:Author>
    <b:Publisher>AACE International</b:Publisher>
    <b:RefOrder>46</b:RefOrder>
  </b:Source>
  <b:Source>
    <b:Tag>18R97</b:Tag>
    <b:SourceType>Book</b:SourceType>
    <b:Guid>{BA279671-0A87-47F0-A5BF-D823740CC632}</b:Guid>
    <b:Author>
      <b:Author>
        <b:Corporate>AACE International</b:Corporate>
      </b:Author>
    </b:Author>
    <b:Title>Recommended Practice No. 18R-97, Cost Estimate Classification System – As Applied in Engineering, Procurement, and Construction for the Process Industries</b:Title>
    <b:Year>Latest revision</b:Year>
    <b:City>Morgantown</b:City>
    <b:Publisher>AACE International</b:Publisher>
    <b:StateProvince>WV</b:StateProvince>
    <b:CountryRegion>USA</b:CountryRegion>
    <b:RefOrder>47</b:RefOrder>
  </b:Source>
  <b:Source>
    <b:Tag>17R97</b:Tag>
    <b:SourceType>Book</b:SourceType>
    <b:Guid>{61D45907-E34A-4851-AC93-5E10EA5C18D1}</b:Guid>
    <b:Author>
      <b:Author>
        <b:Corporate>AACE International</b:Corporate>
      </b:Author>
    </b:Author>
    <b:Title>Recommended Practice No. 17R-97, Cost Estimate Classification System</b:Title>
    <b:Year>Latest revision</b:Year>
    <b:City>Morgantown</b:City>
    <b:Publisher>AACE International</b:Publisher>
    <b:StateProvince>WV</b:StateProvince>
    <b:CountryRegion>USA</b:CountryRegion>
    <b:RefOrder>48</b:RefOrder>
  </b:Source>
  <b:Source>
    <b:Tag>AACon2</b:Tag>
    <b:SourceType>Book</b:SourceType>
    <b:Guid>{24608985-E8C8-4E07-B33D-2B55DB1614E2}</b:Guid>
    <b:Author>
      <b:Author>
        <b:Corporate>AACE International</b:Corporate>
      </b:Author>
    </b:Author>
    <b:Title>Recommended Practice No. 14R-90, Roles and Duties of a Planning and Scheduling Professional</b:Title>
    <b:Year>Latest revision</b:Year>
    <b:City>Morgantown</b:City>
    <b:Publisher>AACE International</b:Publisher>
    <b:StateProvince>WV</b:StateProvince>
    <b:CountryRegion>USA</b:CountryRegion>
    <b:RefOrder>49</b:RefOrder>
  </b:Source>
  <b:Source>
    <b:Tag>11R88</b:Tag>
    <b:SourceType>Book</b:SourceType>
    <b:Guid>{C1A964EC-4F4E-45CF-B74A-EC51FB54A218}</b:Guid>
    <b:Title>Recommended Practice No. 11R-88, Required Skills and Knowledge of Cost Engineering</b:Title>
    <b:Year>Latest revision</b:Year>
    <b:Publisher>AACE International</b:Publisher>
    <b:City>Morgantown</b:City>
    <b:Author>
      <b:Author>
        <b:Corporate>AACE International</b:Corporate>
      </b:Author>
    </b:Author>
    <b:StateProvince>WV</b:StateProvince>
    <b:CountryRegion>USA</b:CountryRegion>
    <b:RefOrder>50</b:RefOrder>
  </b:Source>
  <b:Source>
    <b:Tag>AACon4</b:Tag>
    <b:SourceType>Report</b:SourceType>
    <b:Guid>{9F162D78-6A30-45CB-8C85-1EE792B6CB1A}</b:Guid>
    <b:Title>Recommended Practice No. 117R-21, Integrated Cost and Schedule Risk Analysis and Contingency Determination Using a Hybrid Parametric and CPM Method</b:Title>
    <b:Year>Latest revision</b:Year>
    <b:City>Morgantown WV</b:City>
    <b:Publisher>AACE International</b:Publisher>
    <b:Author>
      <b:Author>
        <b:Corporate>AACE International</b:Corporate>
      </b:Author>
    </b:Author>
    <b:RefOrder>51</b:RefOrder>
  </b:Source>
  <b:Source>
    <b:Tag>AACon9</b:Tag>
    <b:SourceType>Book</b:SourceType>
    <b:Guid>{C926CED4-5630-4E76-98DA-56D0B70547BF}</b:Guid>
    <b:Author>
      <b:Author>
        <b:Corporate>AACE International</b:Corporate>
      </b:Author>
    </b:Author>
    <b:Title>Recommended Practice No. 114R-20, Project Historical Database Development</b:Title>
    <b:Year>Latest revision</b:Year>
    <b:City>Morgantown, WV</b:City>
    <b:Publisher>AACE International</b:Publisher>
    <b:RefOrder>52</b:RefOrder>
  </b:Source>
  <b:Source>
    <b:Tag>AACon10</b:Tag>
    <b:SourceType>Book</b:SourceType>
    <b:Guid>{94916A26-8F35-4BE1-9216-CED3E83C7FC4}</b:Guid>
    <b:Author>
      <b:Author>
        <b:Corporate>AACE International</b:Corporate>
      </b:Author>
    </b:Author>
    <b:Title>Recommended Practice No. 113R-20, Integrated Cost and Schedule Risk Analysis and Contingency Determination using Combined Parametric and Expected Value</b:Title>
    <b:Year>Latest revision</b:Year>
    <b:City>Morgantown, WV</b:City>
    <b:Publisher>AACE International</b:Publisher>
    <b:RefOrder>53</b:RefOrder>
  </b:Source>
  <b:Source>
    <b:Tag>AACon7</b:Tag>
    <b:SourceType>Book</b:SourceType>
    <b:Guid>{5A79528D-7CFF-4A76-AB55-3B14A13C4C99}</b:Guid>
    <b:Author>
      <b:Author>
        <b:Corporate>AACE International</b:Corporate>
      </b:Author>
    </b:Author>
    <b:Title>Recommended Practice No. 112R-20, Cost Estimate Classification System – As Applied in Maintenance Turnarounds for the Process Industries</b:Title>
    <b:Year>Latest revision</b:Year>
    <b:City>Morgantown</b:City>
    <b:Publisher>AACE International</b:Publisher>
    <b:StateProvince>WV</b:StateProvince>
    <b:CountryRegion>USA</b:CountryRegion>
    <b:RefOrder>54</b:RefOrder>
  </b:Source>
  <b:Source>
    <b:Tag>AACon5</b:Tag>
    <b:SourceType>Book</b:SourceType>
    <b:Guid>{038A1564-B336-4855-A4F4-E070AEE305C8}</b:Guid>
    <b:Author>
      <b:Author>
        <b:Corporate>AACE International</b:Corporate>
      </b:Author>
    </b:Author>
    <b:Title>Recommended Practice No. 110R-20, Cost Estimate Validation</b:Title>
    <b:Year>Latest revision</b:Year>
    <b:City>Morgantown</b:City>
    <b:Publisher>AACE International</b:Publisher>
    <b:StateProvince>WV</b:StateProvince>
    <b:CountryRegion>USA</b:CountryRegion>
    <b:RefOrder>55</b:RefOrder>
  </b:Source>
  <b:Source>
    <b:Tag>10S90</b:Tag>
    <b:SourceType>Book</b:SourceType>
    <b:Guid>{EB1F2FCF-9C04-40CF-B661-80B7C13A7E49}</b:Guid>
    <b:Author>
      <b:Author>
        <b:Corporate>AACE International</b:Corporate>
      </b:Author>
    </b:Author>
    <b:Title>Recommended Practice No. 10S-90, Cost Engineering Terminology</b:Title>
    <b:Year>Latest revision</b:Year>
    <b:City>Morgantown</b:City>
    <b:Publisher>AACE International</b:Publisher>
    <b:StateProvince>WV</b:StateProvince>
    <b:CountryRegion>USA</b:CountryRegion>
    <b:StandardNumber>10S-90</b:StandardNumber>
    <b:RefOrder>56</b:RefOrder>
  </b:Source>
  <b:Source>
    <b:Tag>106R19</b:Tag>
    <b:SourceType>Book</b:SourceType>
    <b:Guid>{3945A914-460C-47DC-A001-A1B737EF90FD}</b:Guid>
    <b:Author>
      <b:Author>
        <b:Corporate>AACE International</b:Corporate>
      </b:Author>
    </b:Author>
    <b:Title>Recommended Practice No. 106R-19, Development of Cost Estimate Basis – As Applied in Engineering, Procurement, and Construction for the Process Industries</b:Title>
    <b:Year>Latest revision</b:Year>
    <b:City>Morgantown</b:City>
    <b:Publisher>AACE International</b:Publisher>
    <b:StateProvince>WV</b:StateProvince>
    <b:CountryRegion>USA</b:CountryRegion>
    <b:RefOrder>57</b:RefOrder>
  </b:Source>
  <b:Source>
    <b:Tag>AACon3</b:Tag>
    <b:SourceType>Book</b:SourceType>
    <b:Guid>{24321371-6CD5-483F-BEB2-6ABCF0997057}</b:Guid>
    <b:Title>Recommended Practice No. 105R-19, Estimate Requirements Document - As Applied in Engineering, Procurement, and Construction for the Process Industries</b:Title>
    <b:City>Morgantown</b:City>
    <b:Year>Latest revision</b:Year>
    <b:Publisher>AACE International</b:Publisher>
    <b:Author>
      <b:Author>
        <b:Corporate>AACE International</b:Corporate>
      </b:Author>
    </b:Author>
    <b:RefOrder>58</b:RefOrder>
  </b:Source>
  <b:Source>
    <b:Tag>CE48</b:Tag>
    <b:SourceType>Book</b:SourceType>
    <b:Guid>{A6FA6A22-FA0B-4206-8C74-11ABF2D7C50C}</b:Guid>
    <b:Author>
      <b:Author>
        <b:Corporate>AACE International</b:Corporate>
      </b:Author>
    </b:Author>
    <b:Title>Recommended Practice No. 104R-19, Understanding Estimate Accuracy</b:Title>
    <b:Year>Latest revision</b:Year>
    <b:City>Morgantown</b:City>
    <b:Publisher>AACE International</b:Publisher>
    <b:StateProvince>WV</b:StateProvince>
    <b:CountryRegion>USA</b:CountryRegion>
    <b:RefOrder>59</b:RefOrder>
  </b:Source>
  <b:Source>
    <b:Tag>100R19</b:Tag>
    <b:SourceType>Book</b:SourceType>
    <b:Guid>{D3244298-5673-46E8-A63B-AD2A0D165F42}</b:Guid>
    <b:Author>
      <b:Author>
        <b:Corporate>AACE International</b:Corporate>
      </b:Author>
    </b:Author>
    <b:Title>Recommended Practice No. 100R-19, Change Management as Applied in Engineering, Procurement, and Construction</b:Title>
    <b:Year>Latest revision</b:Year>
    <b:City>Morgantown</b:City>
    <b:Publisher>AACE International</b:Publisher>
    <b:StateProvince>WV</b:StateProvince>
    <b:CountryRegion>USA</b:CountryRegion>
    <b:RefOrder>60</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7E87D8FA52C7BC49B58D68F41587B692" ma:contentTypeVersion="19" ma:contentTypeDescription="Create a new document." ma:contentTypeScope="" ma:versionID="8cc8e4c1c6b9e3a7250fa45594c02725">
  <xsd:schema xmlns:xsd="http://www.w3.org/2001/XMLSchema" xmlns:xs="http://www.w3.org/2001/XMLSchema" xmlns:p="http://schemas.microsoft.com/office/2006/metadata/properties" xmlns:ns2="79898a9c-8629-47f4-9535-6f860a13c9b6" xmlns:ns3="4537d792-ef30-4862-baed-aee9b85552e3" targetNamespace="http://schemas.microsoft.com/office/2006/metadata/properties" ma:root="true" ma:fieldsID="cb01649aa1d2e2fdc21bce2a50e01a3e" ns2:_="" ns3:_="">
    <xsd:import namespace="79898a9c-8629-47f4-9535-6f860a13c9b6"/>
    <xsd:import namespace="4537d792-ef30-4862-baed-aee9b85552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98a9c-8629-47f4-9535-6f860a13c9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4a125a-1c75-44c0-951d-23c9c57e18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37d792-ef30-4862-baed-aee9b85552e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df8c79-ee45-40bb-ab47-6d0e83ebe9ae}" ma:internalName="TaxCatchAll" ma:showField="CatchAllData" ma:web="4537d792-ef30-4862-baed-aee9b85552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681D5A-9B4A-456C-8B74-E66174991DA5}">
  <ds:schemaRefs>
    <ds:schemaRef ds:uri="http://schemas.microsoft.com/sharepoint/v3/contenttype/forms"/>
  </ds:schemaRefs>
</ds:datastoreItem>
</file>

<file path=customXml/itemProps2.xml><?xml version="1.0" encoding="utf-8"?>
<ds:datastoreItem xmlns:ds="http://schemas.openxmlformats.org/officeDocument/2006/customXml" ds:itemID="{3A08CB57-D343-42AD-B0A4-8D0C8F4E88BA}">
  <ds:schemaRefs>
    <ds:schemaRef ds:uri="http://schemas.microsoft.com/office/2006/metadata/properties"/>
    <ds:schemaRef ds:uri="http://schemas.microsoft.com/office/infopath/2007/PartnerControls"/>
    <ds:schemaRef ds:uri="4537d792-ef30-4862-baed-aee9b85552e3"/>
    <ds:schemaRef ds:uri="79898a9c-8629-47f4-9535-6f860a13c9b6"/>
  </ds:schemaRefs>
</ds:datastoreItem>
</file>

<file path=customXml/itemProps3.xml><?xml version="1.0" encoding="utf-8"?>
<ds:datastoreItem xmlns:ds="http://schemas.openxmlformats.org/officeDocument/2006/customXml" ds:itemID="{C7C53D39-A067-40E5-A101-DD5EB8AAE3BD}">
  <ds:schemaRefs>
    <ds:schemaRef ds:uri="http://schemas.openxmlformats.org/officeDocument/2006/bibliography"/>
  </ds:schemaRefs>
</ds:datastoreItem>
</file>

<file path=customXml/itemProps4.xml><?xml version="1.0" encoding="utf-8"?>
<ds:datastoreItem xmlns:ds="http://schemas.openxmlformats.org/officeDocument/2006/customXml" ds:itemID="{504C5361-6B76-49DD-98A8-F67E55E86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98a9c-8629-47f4-9535-6f860a13c9b6"/>
    <ds:schemaRef ds:uri="4537d792-ef30-4862-baed-aee9b8555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AACE International Conference &amp; Expo Technical Paper Template</Template>
  <TotalTime>0</TotalTime>
  <Pages>15</Pages>
  <Words>5265</Words>
  <Characters>30013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AACE International Conference &amp; Expo Technical Paper Template</vt:lpstr>
    </vt:vector>
  </TitlesOfParts>
  <Company/>
  <LinksUpToDate>false</LinksUpToDate>
  <CharactersWithSpaces>35208</CharactersWithSpaces>
  <SharedDoc>false</SharedDoc>
  <HLinks>
    <vt:vector size="168" baseType="variant">
      <vt:variant>
        <vt:i4>4522035</vt:i4>
      </vt:variant>
      <vt:variant>
        <vt:i4>165</vt:i4>
      </vt:variant>
      <vt:variant>
        <vt:i4>0</vt:i4>
      </vt:variant>
      <vt:variant>
        <vt:i4>5</vt:i4>
      </vt:variant>
      <vt:variant>
        <vt:lpwstr>mailto:mmarzilli@civic-cm.com</vt:lpwstr>
      </vt:variant>
      <vt:variant>
        <vt:lpwstr/>
      </vt:variant>
      <vt:variant>
        <vt:i4>1769582</vt:i4>
      </vt:variant>
      <vt:variant>
        <vt:i4>162</vt:i4>
      </vt:variant>
      <vt:variant>
        <vt:i4>0</vt:i4>
      </vt:variant>
      <vt:variant>
        <vt:i4>5</vt:i4>
      </vt:variant>
      <vt:variant>
        <vt:lpwstr>mailto:jarmstrong@civic-cm.com</vt:lpwstr>
      </vt:variant>
      <vt:variant>
        <vt:lpwstr/>
      </vt:variant>
      <vt:variant>
        <vt:i4>1048628</vt:i4>
      </vt:variant>
      <vt:variant>
        <vt:i4>152</vt:i4>
      </vt:variant>
      <vt:variant>
        <vt:i4>0</vt:i4>
      </vt:variant>
      <vt:variant>
        <vt:i4>5</vt:i4>
      </vt:variant>
      <vt:variant>
        <vt:lpwstr/>
      </vt:variant>
      <vt:variant>
        <vt:lpwstr>_Toc222041040</vt:lpwstr>
      </vt:variant>
      <vt:variant>
        <vt:i4>1507380</vt:i4>
      </vt:variant>
      <vt:variant>
        <vt:i4>146</vt:i4>
      </vt:variant>
      <vt:variant>
        <vt:i4>0</vt:i4>
      </vt:variant>
      <vt:variant>
        <vt:i4>5</vt:i4>
      </vt:variant>
      <vt:variant>
        <vt:lpwstr/>
      </vt:variant>
      <vt:variant>
        <vt:lpwstr>_Toc222041039</vt:lpwstr>
      </vt:variant>
      <vt:variant>
        <vt:i4>1507380</vt:i4>
      </vt:variant>
      <vt:variant>
        <vt:i4>140</vt:i4>
      </vt:variant>
      <vt:variant>
        <vt:i4>0</vt:i4>
      </vt:variant>
      <vt:variant>
        <vt:i4>5</vt:i4>
      </vt:variant>
      <vt:variant>
        <vt:lpwstr/>
      </vt:variant>
      <vt:variant>
        <vt:lpwstr>_Toc222041038</vt:lpwstr>
      </vt:variant>
      <vt:variant>
        <vt:i4>1507380</vt:i4>
      </vt:variant>
      <vt:variant>
        <vt:i4>134</vt:i4>
      </vt:variant>
      <vt:variant>
        <vt:i4>0</vt:i4>
      </vt:variant>
      <vt:variant>
        <vt:i4>5</vt:i4>
      </vt:variant>
      <vt:variant>
        <vt:lpwstr/>
      </vt:variant>
      <vt:variant>
        <vt:lpwstr>_Toc222041037</vt:lpwstr>
      </vt:variant>
      <vt:variant>
        <vt:i4>1507380</vt:i4>
      </vt:variant>
      <vt:variant>
        <vt:i4>128</vt:i4>
      </vt:variant>
      <vt:variant>
        <vt:i4>0</vt:i4>
      </vt:variant>
      <vt:variant>
        <vt:i4>5</vt:i4>
      </vt:variant>
      <vt:variant>
        <vt:lpwstr/>
      </vt:variant>
      <vt:variant>
        <vt:lpwstr>_Toc222041036</vt:lpwstr>
      </vt:variant>
      <vt:variant>
        <vt:i4>1507380</vt:i4>
      </vt:variant>
      <vt:variant>
        <vt:i4>122</vt:i4>
      </vt:variant>
      <vt:variant>
        <vt:i4>0</vt:i4>
      </vt:variant>
      <vt:variant>
        <vt:i4>5</vt:i4>
      </vt:variant>
      <vt:variant>
        <vt:lpwstr/>
      </vt:variant>
      <vt:variant>
        <vt:lpwstr>_Toc222041035</vt:lpwstr>
      </vt:variant>
      <vt:variant>
        <vt:i4>1507380</vt:i4>
      </vt:variant>
      <vt:variant>
        <vt:i4>116</vt:i4>
      </vt:variant>
      <vt:variant>
        <vt:i4>0</vt:i4>
      </vt:variant>
      <vt:variant>
        <vt:i4>5</vt:i4>
      </vt:variant>
      <vt:variant>
        <vt:lpwstr/>
      </vt:variant>
      <vt:variant>
        <vt:lpwstr>_Toc222041034</vt:lpwstr>
      </vt:variant>
      <vt:variant>
        <vt:i4>1507380</vt:i4>
      </vt:variant>
      <vt:variant>
        <vt:i4>110</vt:i4>
      </vt:variant>
      <vt:variant>
        <vt:i4>0</vt:i4>
      </vt:variant>
      <vt:variant>
        <vt:i4>5</vt:i4>
      </vt:variant>
      <vt:variant>
        <vt:lpwstr/>
      </vt:variant>
      <vt:variant>
        <vt:lpwstr>_Toc222041033</vt:lpwstr>
      </vt:variant>
      <vt:variant>
        <vt:i4>1507380</vt:i4>
      </vt:variant>
      <vt:variant>
        <vt:i4>104</vt:i4>
      </vt:variant>
      <vt:variant>
        <vt:i4>0</vt:i4>
      </vt:variant>
      <vt:variant>
        <vt:i4>5</vt:i4>
      </vt:variant>
      <vt:variant>
        <vt:lpwstr/>
      </vt:variant>
      <vt:variant>
        <vt:lpwstr>_Toc222041032</vt:lpwstr>
      </vt:variant>
      <vt:variant>
        <vt:i4>1507380</vt:i4>
      </vt:variant>
      <vt:variant>
        <vt:i4>98</vt:i4>
      </vt:variant>
      <vt:variant>
        <vt:i4>0</vt:i4>
      </vt:variant>
      <vt:variant>
        <vt:i4>5</vt:i4>
      </vt:variant>
      <vt:variant>
        <vt:lpwstr/>
      </vt:variant>
      <vt:variant>
        <vt:lpwstr>_Toc222041031</vt:lpwstr>
      </vt:variant>
      <vt:variant>
        <vt:i4>1507380</vt:i4>
      </vt:variant>
      <vt:variant>
        <vt:i4>92</vt:i4>
      </vt:variant>
      <vt:variant>
        <vt:i4>0</vt:i4>
      </vt:variant>
      <vt:variant>
        <vt:i4>5</vt:i4>
      </vt:variant>
      <vt:variant>
        <vt:lpwstr/>
      </vt:variant>
      <vt:variant>
        <vt:lpwstr>_Toc222041030</vt:lpwstr>
      </vt:variant>
      <vt:variant>
        <vt:i4>1441844</vt:i4>
      </vt:variant>
      <vt:variant>
        <vt:i4>86</vt:i4>
      </vt:variant>
      <vt:variant>
        <vt:i4>0</vt:i4>
      </vt:variant>
      <vt:variant>
        <vt:i4>5</vt:i4>
      </vt:variant>
      <vt:variant>
        <vt:lpwstr/>
      </vt:variant>
      <vt:variant>
        <vt:lpwstr>_Toc222041029</vt:lpwstr>
      </vt:variant>
      <vt:variant>
        <vt:i4>1441844</vt:i4>
      </vt:variant>
      <vt:variant>
        <vt:i4>80</vt:i4>
      </vt:variant>
      <vt:variant>
        <vt:i4>0</vt:i4>
      </vt:variant>
      <vt:variant>
        <vt:i4>5</vt:i4>
      </vt:variant>
      <vt:variant>
        <vt:lpwstr/>
      </vt:variant>
      <vt:variant>
        <vt:lpwstr>_Toc222041028</vt:lpwstr>
      </vt:variant>
      <vt:variant>
        <vt:i4>1441844</vt:i4>
      </vt:variant>
      <vt:variant>
        <vt:i4>74</vt:i4>
      </vt:variant>
      <vt:variant>
        <vt:i4>0</vt:i4>
      </vt:variant>
      <vt:variant>
        <vt:i4>5</vt:i4>
      </vt:variant>
      <vt:variant>
        <vt:lpwstr/>
      </vt:variant>
      <vt:variant>
        <vt:lpwstr>_Toc222041027</vt:lpwstr>
      </vt:variant>
      <vt:variant>
        <vt:i4>1441844</vt:i4>
      </vt:variant>
      <vt:variant>
        <vt:i4>68</vt:i4>
      </vt:variant>
      <vt:variant>
        <vt:i4>0</vt:i4>
      </vt:variant>
      <vt:variant>
        <vt:i4>5</vt:i4>
      </vt:variant>
      <vt:variant>
        <vt:lpwstr/>
      </vt:variant>
      <vt:variant>
        <vt:lpwstr>_Toc222041026</vt:lpwstr>
      </vt:variant>
      <vt:variant>
        <vt:i4>1441844</vt:i4>
      </vt:variant>
      <vt:variant>
        <vt:i4>62</vt:i4>
      </vt:variant>
      <vt:variant>
        <vt:i4>0</vt:i4>
      </vt:variant>
      <vt:variant>
        <vt:i4>5</vt:i4>
      </vt:variant>
      <vt:variant>
        <vt:lpwstr/>
      </vt:variant>
      <vt:variant>
        <vt:lpwstr>_Toc222041025</vt:lpwstr>
      </vt:variant>
      <vt:variant>
        <vt:i4>1441844</vt:i4>
      </vt:variant>
      <vt:variant>
        <vt:i4>56</vt:i4>
      </vt:variant>
      <vt:variant>
        <vt:i4>0</vt:i4>
      </vt:variant>
      <vt:variant>
        <vt:i4>5</vt:i4>
      </vt:variant>
      <vt:variant>
        <vt:lpwstr/>
      </vt:variant>
      <vt:variant>
        <vt:lpwstr>_Toc222041024</vt:lpwstr>
      </vt:variant>
      <vt:variant>
        <vt:i4>1441844</vt:i4>
      </vt:variant>
      <vt:variant>
        <vt:i4>50</vt:i4>
      </vt:variant>
      <vt:variant>
        <vt:i4>0</vt:i4>
      </vt:variant>
      <vt:variant>
        <vt:i4>5</vt:i4>
      </vt:variant>
      <vt:variant>
        <vt:lpwstr/>
      </vt:variant>
      <vt:variant>
        <vt:lpwstr>_Toc222041023</vt:lpwstr>
      </vt:variant>
      <vt:variant>
        <vt:i4>1441844</vt:i4>
      </vt:variant>
      <vt:variant>
        <vt:i4>44</vt:i4>
      </vt:variant>
      <vt:variant>
        <vt:i4>0</vt:i4>
      </vt:variant>
      <vt:variant>
        <vt:i4>5</vt:i4>
      </vt:variant>
      <vt:variant>
        <vt:lpwstr/>
      </vt:variant>
      <vt:variant>
        <vt:lpwstr>_Toc222041022</vt:lpwstr>
      </vt:variant>
      <vt:variant>
        <vt:i4>1441844</vt:i4>
      </vt:variant>
      <vt:variant>
        <vt:i4>38</vt:i4>
      </vt:variant>
      <vt:variant>
        <vt:i4>0</vt:i4>
      </vt:variant>
      <vt:variant>
        <vt:i4>5</vt:i4>
      </vt:variant>
      <vt:variant>
        <vt:lpwstr/>
      </vt:variant>
      <vt:variant>
        <vt:lpwstr>_Toc222041021</vt:lpwstr>
      </vt:variant>
      <vt:variant>
        <vt:i4>1441844</vt:i4>
      </vt:variant>
      <vt:variant>
        <vt:i4>32</vt:i4>
      </vt:variant>
      <vt:variant>
        <vt:i4>0</vt:i4>
      </vt:variant>
      <vt:variant>
        <vt:i4>5</vt:i4>
      </vt:variant>
      <vt:variant>
        <vt:lpwstr/>
      </vt:variant>
      <vt:variant>
        <vt:lpwstr>_Toc222041020</vt:lpwstr>
      </vt:variant>
      <vt:variant>
        <vt:i4>1376308</vt:i4>
      </vt:variant>
      <vt:variant>
        <vt:i4>26</vt:i4>
      </vt:variant>
      <vt:variant>
        <vt:i4>0</vt:i4>
      </vt:variant>
      <vt:variant>
        <vt:i4>5</vt:i4>
      </vt:variant>
      <vt:variant>
        <vt:lpwstr/>
      </vt:variant>
      <vt:variant>
        <vt:lpwstr>_Toc222041019</vt:lpwstr>
      </vt:variant>
      <vt:variant>
        <vt:i4>1376308</vt:i4>
      </vt:variant>
      <vt:variant>
        <vt:i4>20</vt:i4>
      </vt:variant>
      <vt:variant>
        <vt:i4>0</vt:i4>
      </vt:variant>
      <vt:variant>
        <vt:i4>5</vt:i4>
      </vt:variant>
      <vt:variant>
        <vt:lpwstr/>
      </vt:variant>
      <vt:variant>
        <vt:lpwstr>_Toc222041018</vt:lpwstr>
      </vt:variant>
      <vt:variant>
        <vt:i4>1376308</vt:i4>
      </vt:variant>
      <vt:variant>
        <vt:i4>14</vt:i4>
      </vt:variant>
      <vt:variant>
        <vt:i4>0</vt:i4>
      </vt:variant>
      <vt:variant>
        <vt:i4>5</vt:i4>
      </vt:variant>
      <vt:variant>
        <vt:lpwstr/>
      </vt:variant>
      <vt:variant>
        <vt:lpwstr>_Toc222041017</vt:lpwstr>
      </vt:variant>
      <vt:variant>
        <vt:i4>1376308</vt:i4>
      </vt:variant>
      <vt:variant>
        <vt:i4>8</vt:i4>
      </vt:variant>
      <vt:variant>
        <vt:i4>0</vt:i4>
      </vt:variant>
      <vt:variant>
        <vt:i4>5</vt:i4>
      </vt:variant>
      <vt:variant>
        <vt:lpwstr/>
      </vt:variant>
      <vt:variant>
        <vt:lpwstr>_Toc222041016</vt:lpwstr>
      </vt:variant>
      <vt:variant>
        <vt:i4>1376308</vt:i4>
      </vt:variant>
      <vt:variant>
        <vt:i4>2</vt:i4>
      </vt:variant>
      <vt:variant>
        <vt:i4>0</vt:i4>
      </vt:variant>
      <vt:variant>
        <vt:i4>5</vt:i4>
      </vt:variant>
      <vt:variant>
        <vt:lpwstr/>
      </vt:variant>
      <vt:variant>
        <vt:lpwstr>_Toc222041015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AACE International Conference &amp; Expo Technical Paper Template</dc:title>
  <dc:subject/>
  <dc:creator>Christian Heller</dc:creator>
  <cp:keywords/>
  <cp:lastModifiedBy>John Armstrong</cp:lastModifiedBy>
  <cp:revision>2</cp:revision>
  <cp:lastPrinted>2004-01-24T16:28:00Z</cp:lastPrinted>
  <dcterms:created xsi:type="dcterms:W3CDTF">2026-10-13T13:29:00Z</dcterms:created>
  <dcterms:modified xsi:type="dcterms:W3CDTF">2026-10-13T13:29:00Z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0x0101007E87D8FA52C7BC49B58D68F41587B692</vt:lpwstr>
  </property>
  <property fmtid="{D5CDD505-2E9C-101B-9397-08002B2CF9AE}" pid="3" name="MediaServiceImageTags">
    <vt:lpwstr/>
  </property>
  <property fmtid="{D5CDD505-2E9C-101B-9397-08002B2CF9AE}" pid="4" name="GrammarlyDocumentId">
    <vt:lpwstr>fa63cde8-d900-4ea8-8ff0-6e198394ca0c</vt:lpwstr>
  </property>
</Properties>
</file>